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740" w:lineRule="exact"/>
        <w:ind w:left="0" w:right="0"/>
        <w:jc w:val="center"/>
        <w:rPr>
          <w:rFonts w:hint="eastAsia" w:ascii="方正小标宋简体" w:hAnsi="方正小标宋简体" w:eastAsia="方正小标宋简体" w:cs="方正小标宋简体"/>
          <w:sz w:val="44"/>
          <w:szCs w:val="44"/>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740" w:lineRule="exact"/>
        <w:ind w:left="0" w:right="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新闻</w:t>
      </w:r>
      <w:r>
        <w:rPr>
          <w:rFonts w:hint="eastAsia" w:ascii="方正小标宋简体" w:hAnsi="方正小标宋简体" w:eastAsia="方正小标宋简体" w:cs="方正小标宋简体"/>
          <w:sz w:val="44"/>
          <w:szCs w:val="44"/>
          <w:lang w:eastAsia="zh-CN"/>
        </w:rPr>
        <w:t>通稿</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740" w:lineRule="exact"/>
        <w:ind w:left="0" w:right="0"/>
        <w:jc w:val="center"/>
        <w:rPr>
          <w:rFonts w:hint="eastAsia" w:ascii="方正小标宋简体" w:hAnsi="方正小标宋简体" w:eastAsia="方正小标宋简体" w:cs="方正小标宋简体"/>
          <w:sz w:val="44"/>
          <w:szCs w:val="44"/>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74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人民银行成都分行</w:t>
      </w:r>
      <w:r>
        <w:rPr>
          <w:rFonts w:hint="eastAsia" w:ascii="方正小标宋简体" w:hAnsi="方正小标宋简体" w:eastAsia="方正小标宋简体" w:cs="方正小标宋简体"/>
          <w:sz w:val="44"/>
          <w:szCs w:val="44"/>
        </w:rPr>
        <w:t>优化账户服务</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74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和加强账户风险防控工作</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jc w:val="center"/>
        <w:rPr>
          <w:rFonts w:hint="eastAsia" w:ascii="黑体" w:eastAsia="黑体"/>
          <w:sz w:val="36"/>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 w:hAnsi="仿宋" w:eastAsia="仿宋" w:cs="仿宋"/>
          <w:b w:val="0"/>
          <w:i w:val="0"/>
          <w:caps w:val="0"/>
          <w:color w:val="auto"/>
          <w:spacing w:val="0"/>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一、工作背景</w:t>
      </w:r>
      <w:r>
        <w:rPr>
          <w:rFonts w:hint="eastAsia" w:ascii="仿宋" w:hAnsi="仿宋" w:eastAsia="仿宋" w:cs="仿宋"/>
          <w:b w:val="0"/>
          <w:i w:val="0"/>
          <w:caps w:val="0"/>
          <w:color w:val="auto"/>
          <w:spacing w:val="0"/>
          <w:sz w:val="32"/>
          <w:szCs w:val="32"/>
          <w:u w:val="none"/>
          <w:lang w:val="en-US" w:eastAsia="zh-CN"/>
        </w:rPr>
        <w:t xml:space="preserve">  </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人民银行始终高度重视账户服务工作，坚决贯彻落实党中央、国务院“放管服”决策部署，坚持“支付为民”，组织银行机构努力为社会公众提供高效、安全、便捷的账户服务。近年来，电信网络诈骗犯罪形势严峻，为打击电信网络诈骗犯罪，2020年10月起国务院组织开展“断卡”行动，严厉打击非法买卖银行账户活动，截止目前，四川省公安机关已查获涉案银行卡1.77万张、单位银行账户741户。反诈工作中，金融行业治理责任重大，商业银行积极落实账户风险防控责任，按照“了解你的客户（KYC）”原则加强个人和小微企业开户审核。在这个过程中，部分商业银行向客户“一刀切”提出不合理或超出必要限度的身份核实要求，加之宣传解释不足，造成前期一些地方包括四川的流动就业群体和企业反映“开户难”问题。对此，人民银行成都分行高度重视，把账户管理作为“密切联系群众”的“连心桥”，根据人民银行总行的部署采取多种措施平衡账户服务和风险防控，持续优化对企业和个人的账户服务，力争让人民满意，让群众放心，取得了积极的进展。</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 w:hAnsi="仿宋" w:eastAsia="仿宋" w:cs="仿宋"/>
          <w:b w:val="0"/>
          <w:i w:val="0"/>
          <w:caps w:val="0"/>
          <w:color w:val="auto"/>
          <w:spacing w:val="0"/>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二、工作措施</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楷体_GB2312" w:hAnsi="楷体_GB2312" w:eastAsia="楷体_GB2312" w:cs="楷体_GB2312"/>
          <w:b/>
          <w:bCs/>
          <w:i w:val="0"/>
          <w:caps w:val="0"/>
          <w:color w:val="auto"/>
          <w:spacing w:val="0"/>
          <w:sz w:val="32"/>
          <w:szCs w:val="32"/>
          <w:u w:val="none"/>
          <w:lang w:eastAsia="zh-CN"/>
        </w:rPr>
      </w:pPr>
      <w:r>
        <w:rPr>
          <w:rFonts w:hint="eastAsia" w:ascii="楷体_GB2312" w:hAnsi="楷体_GB2312" w:eastAsia="楷体_GB2312" w:cs="楷体_GB2312"/>
          <w:b/>
          <w:bCs/>
          <w:i w:val="0"/>
          <w:caps w:val="0"/>
          <w:color w:val="auto"/>
          <w:spacing w:val="0"/>
          <w:sz w:val="32"/>
          <w:szCs w:val="32"/>
          <w:u w:val="none"/>
          <w:lang w:eastAsia="zh-CN"/>
        </w:rPr>
        <w:t>（一）持续优化银行账户服务。</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u w:val="none"/>
          <w:lang w:eastAsia="zh-CN"/>
        </w:rPr>
      </w:pPr>
      <w:r>
        <w:rPr>
          <w:rFonts w:hint="eastAsia" w:ascii="仿宋_GB2312" w:hAnsi="仿宋_GB2312" w:eastAsia="仿宋_GB2312" w:cs="仿宋_GB2312"/>
          <w:b w:val="0"/>
          <w:bCs w:val="0"/>
          <w:i w:val="0"/>
          <w:caps w:val="0"/>
          <w:color w:val="auto"/>
          <w:spacing w:val="0"/>
          <w:sz w:val="32"/>
          <w:szCs w:val="32"/>
          <w:u w:val="none"/>
          <w:lang w:eastAsia="zh-CN"/>
        </w:rPr>
        <w:t>持续开展暗访督导，将账户服务纳入“领导跑流程”，不断查找、完善账户服务薄弱环节。</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一是</w:t>
      </w:r>
      <w:r>
        <w:rPr>
          <w:rFonts w:hint="eastAsia" w:ascii="仿宋_GB2312" w:hAnsi="仿宋_GB2312" w:eastAsia="仿宋_GB2312" w:cs="仿宋_GB2312"/>
          <w:b w:val="0"/>
          <w:bCs w:val="0"/>
          <w:i w:val="0"/>
          <w:caps w:val="0"/>
          <w:color w:val="auto"/>
          <w:spacing w:val="0"/>
          <w:sz w:val="32"/>
          <w:szCs w:val="32"/>
          <w:u w:val="none"/>
          <w:lang w:eastAsia="zh-CN"/>
        </w:rPr>
        <w:t>在取消企业账户开户许可的基础上，</w:t>
      </w:r>
      <w:r>
        <w:rPr>
          <w:rFonts w:hint="eastAsia" w:ascii="仿宋_GB2312" w:hAnsi="仿宋_GB2312" w:eastAsia="仿宋_GB2312" w:cs="仿宋_GB2312"/>
          <w:b/>
          <w:bCs/>
          <w:i w:val="0"/>
          <w:caps w:val="0"/>
          <w:color w:val="auto"/>
          <w:spacing w:val="0"/>
          <w:sz w:val="32"/>
          <w:szCs w:val="32"/>
          <w:u w:val="none"/>
          <w:lang w:eastAsia="zh-CN"/>
        </w:rPr>
        <w:t>进一步优化企业账户开户流程</w:t>
      </w:r>
      <w:r>
        <w:rPr>
          <w:rFonts w:hint="eastAsia" w:ascii="仿宋_GB2312" w:hAnsi="仿宋_GB2312" w:eastAsia="仿宋_GB2312" w:cs="仿宋_GB2312"/>
          <w:b w:val="0"/>
          <w:bCs w:val="0"/>
          <w:i w:val="0"/>
          <w:caps w:val="0"/>
          <w:color w:val="auto"/>
          <w:spacing w:val="0"/>
          <w:sz w:val="32"/>
          <w:szCs w:val="32"/>
          <w:u w:val="none"/>
          <w:lang w:eastAsia="zh-CN"/>
        </w:rPr>
        <w:t>。</w:t>
      </w:r>
      <w:r>
        <w:rPr>
          <w:rFonts w:hint="eastAsia" w:ascii="仿宋_GB2312" w:hAnsi="仿宋_GB2312" w:eastAsia="仿宋_GB2312" w:cs="仿宋_GB2312"/>
          <w:b w:val="0"/>
          <w:i w:val="0"/>
          <w:caps w:val="0"/>
          <w:color w:val="auto"/>
          <w:spacing w:val="0"/>
          <w:sz w:val="32"/>
          <w:szCs w:val="32"/>
          <w:u w:val="none"/>
          <w:lang w:eastAsia="zh-CN"/>
        </w:rPr>
        <w:t>推动商业银行在企业账户开户环节更多地应用技术手段，</w:t>
      </w:r>
      <w:r>
        <w:rPr>
          <w:rFonts w:hint="eastAsia" w:ascii="仿宋_GB2312" w:hAnsi="仿宋_GB2312" w:eastAsia="仿宋_GB2312" w:cs="仿宋_GB2312"/>
          <w:b w:val="0"/>
          <w:i w:val="0"/>
          <w:caps w:val="0"/>
          <w:color w:val="auto"/>
          <w:spacing w:val="0"/>
          <w:sz w:val="32"/>
          <w:szCs w:val="32"/>
          <w:u w:val="none"/>
          <w:lang w:val="en-US" w:eastAsia="zh-CN"/>
        </w:rPr>
        <w:t>28家银行机构3500余个</w:t>
      </w:r>
      <w:r>
        <w:rPr>
          <w:rFonts w:hint="eastAsia" w:ascii="仿宋_GB2312" w:hAnsi="仿宋_GB2312" w:eastAsia="仿宋_GB2312" w:cs="仿宋_GB2312"/>
          <w:b w:val="0"/>
          <w:i w:val="0"/>
          <w:caps w:val="0"/>
          <w:color w:val="auto"/>
          <w:spacing w:val="0"/>
          <w:sz w:val="32"/>
          <w:szCs w:val="32"/>
          <w:u w:val="none"/>
          <w:lang w:eastAsia="zh-CN"/>
        </w:rPr>
        <w:t>网点支持电子营业执照</w:t>
      </w:r>
      <w:r>
        <w:rPr>
          <w:rStyle w:val="10"/>
          <w:rFonts w:hint="eastAsia" w:ascii="仿宋_GB2312" w:hAnsi="仿宋_GB2312" w:eastAsia="仿宋_GB2312" w:cs="仿宋_GB2312"/>
          <w:b w:val="0"/>
          <w:i w:val="0"/>
          <w:caps w:val="0"/>
          <w:color w:val="auto"/>
          <w:spacing w:val="0"/>
          <w:sz w:val="32"/>
          <w:szCs w:val="32"/>
          <w:u w:val="none"/>
          <w:lang w:eastAsia="zh-CN"/>
        </w:rPr>
        <w:footnoteReference w:id="0"/>
      </w:r>
      <w:r>
        <w:rPr>
          <w:rFonts w:hint="eastAsia" w:ascii="仿宋_GB2312" w:hAnsi="仿宋_GB2312" w:eastAsia="仿宋_GB2312" w:cs="仿宋_GB2312"/>
          <w:b w:val="0"/>
          <w:i w:val="0"/>
          <w:caps w:val="0"/>
          <w:color w:val="auto"/>
          <w:spacing w:val="0"/>
          <w:sz w:val="32"/>
          <w:szCs w:val="32"/>
          <w:u w:val="none"/>
          <w:lang w:eastAsia="zh-CN"/>
        </w:rPr>
        <w:t>，</w:t>
      </w:r>
      <w:r>
        <w:rPr>
          <w:rFonts w:hint="eastAsia" w:ascii="仿宋_GB2312" w:hAnsi="仿宋_GB2312" w:eastAsia="仿宋_GB2312" w:cs="仿宋_GB2312"/>
          <w:b w:val="0"/>
          <w:i w:val="0"/>
          <w:caps w:val="0"/>
          <w:color w:val="auto"/>
          <w:spacing w:val="0"/>
          <w:sz w:val="32"/>
          <w:szCs w:val="32"/>
          <w:u w:val="none"/>
          <w:lang w:val="en-US" w:eastAsia="zh-CN"/>
        </w:rPr>
        <w:t>102家</w:t>
      </w:r>
      <w:r>
        <w:rPr>
          <w:rFonts w:hint="eastAsia" w:ascii="仿宋_GB2312" w:hAnsi="仿宋_GB2312" w:eastAsia="仿宋_GB2312" w:cs="仿宋_GB2312"/>
          <w:b w:val="0"/>
          <w:i w:val="0"/>
          <w:caps w:val="0"/>
          <w:color w:val="auto"/>
          <w:spacing w:val="0"/>
          <w:sz w:val="32"/>
          <w:szCs w:val="32"/>
          <w:u w:val="none"/>
          <w:lang w:eastAsia="zh-CN"/>
        </w:rPr>
        <w:t>银行提供电子渠道预约开户服务，实现开户办理情况的及时反馈跟踪</w:t>
      </w:r>
      <w:r>
        <w:rPr>
          <w:rStyle w:val="10"/>
          <w:rFonts w:hint="eastAsia" w:ascii="仿宋_GB2312" w:hAnsi="仿宋_GB2312" w:eastAsia="仿宋_GB2312" w:cs="仿宋_GB2312"/>
          <w:b w:val="0"/>
          <w:i w:val="0"/>
          <w:caps w:val="0"/>
          <w:color w:val="auto"/>
          <w:spacing w:val="0"/>
          <w:sz w:val="32"/>
          <w:szCs w:val="32"/>
          <w:u w:val="none"/>
          <w:lang w:eastAsia="zh-CN"/>
        </w:rPr>
        <w:footnoteReference w:id="1"/>
      </w:r>
      <w:r>
        <w:rPr>
          <w:rFonts w:hint="eastAsia" w:ascii="仿宋_GB2312" w:hAnsi="仿宋_GB2312" w:eastAsia="仿宋_GB2312" w:cs="仿宋_GB2312"/>
          <w:b w:val="0"/>
          <w:i w:val="0"/>
          <w:caps w:val="0"/>
          <w:color w:val="auto"/>
          <w:spacing w:val="0"/>
          <w:sz w:val="32"/>
          <w:szCs w:val="32"/>
          <w:u w:val="none"/>
          <w:lang w:eastAsia="zh-CN"/>
        </w:rPr>
        <w:t>。全省超九成企业开户时长已缩短至3个工作日内。</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二是提升企业账户服务水平</w:t>
      </w:r>
      <w:r>
        <w:rPr>
          <w:rFonts w:hint="eastAsia" w:ascii="仿宋_GB2312" w:hAnsi="仿宋_GB2312" w:eastAsia="仿宋_GB2312" w:cs="仿宋_GB2312"/>
          <w:b w:val="0"/>
          <w:i w:val="0"/>
          <w:caps w:val="0"/>
          <w:color w:val="auto"/>
          <w:spacing w:val="0"/>
          <w:sz w:val="32"/>
          <w:szCs w:val="32"/>
          <w:u w:val="none"/>
          <w:lang w:eastAsia="zh-CN"/>
        </w:rPr>
        <w:t>，组织</w:t>
      </w:r>
      <w:r>
        <w:rPr>
          <w:rFonts w:hint="eastAsia" w:ascii="仿宋_GB2312" w:hAnsi="仿宋_GB2312" w:eastAsia="仿宋_GB2312" w:cs="仿宋_GB2312"/>
          <w:b w:val="0"/>
          <w:i w:val="0"/>
          <w:caps w:val="0"/>
          <w:color w:val="auto"/>
          <w:spacing w:val="0"/>
          <w:sz w:val="32"/>
          <w:szCs w:val="32"/>
          <w:u w:val="none"/>
          <w:lang w:val="en-US" w:eastAsia="zh-CN"/>
        </w:rPr>
        <w:t>13家</w:t>
      </w:r>
      <w:r>
        <w:rPr>
          <w:rFonts w:hint="eastAsia" w:ascii="仿宋_GB2312" w:hAnsi="仿宋_GB2312" w:eastAsia="仿宋_GB2312" w:cs="仿宋_GB2312"/>
          <w:b w:val="0"/>
          <w:i w:val="0"/>
          <w:caps w:val="0"/>
          <w:color w:val="auto"/>
          <w:spacing w:val="0"/>
          <w:sz w:val="32"/>
          <w:szCs w:val="32"/>
          <w:u w:val="none"/>
          <w:lang w:eastAsia="zh-CN"/>
        </w:rPr>
        <w:t>银行机构参与企业开办标准化规范化试点</w:t>
      </w:r>
      <w:r>
        <w:rPr>
          <w:rStyle w:val="10"/>
          <w:rFonts w:hint="eastAsia" w:ascii="仿宋_GB2312" w:hAnsi="仿宋_GB2312" w:eastAsia="仿宋_GB2312" w:cs="仿宋_GB2312"/>
          <w:b w:val="0"/>
          <w:i w:val="0"/>
          <w:caps w:val="0"/>
          <w:color w:val="auto"/>
          <w:spacing w:val="0"/>
          <w:sz w:val="32"/>
          <w:szCs w:val="32"/>
          <w:u w:val="none"/>
          <w:lang w:eastAsia="zh-CN"/>
        </w:rPr>
        <w:footnoteReference w:id="2"/>
      </w:r>
      <w:r>
        <w:rPr>
          <w:rFonts w:hint="eastAsia" w:ascii="仿宋_GB2312" w:hAnsi="仿宋_GB2312" w:eastAsia="仿宋_GB2312" w:cs="仿宋_GB2312"/>
          <w:b w:val="0"/>
          <w:i w:val="0"/>
          <w:caps w:val="0"/>
          <w:color w:val="auto"/>
          <w:spacing w:val="0"/>
          <w:sz w:val="32"/>
          <w:szCs w:val="32"/>
          <w:u w:val="none"/>
          <w:lang w:eastAsia="zh-CN"/>
        </w:rPr>
        <w:t>，在部分</w:t>
      </w:r>
      <w:r>
        <w:rPr>
          <w:rFonts w:hint="eastAsia" w:ascii="仿宋_GB2312" w:hAnsi="仿宋_GB2312" w:eastAsia="仿宋_GB2312" w:cs="仿宋_GB2312"/>
          <w:b w:val="0"/>
          <w:i w:val="0"/>
          <w:caps w:val="0"/>
          <w:color w:val="auto"/>
          <w:spacing w:val="0"/>
          <w:sz w:val="32"/>
          <w:szCs w:val="32"/>
          <w:u w:val="none"/>
          <w:lang w:val="en-US" w:eastAsia="zh-CN"/>
        </w:rPr>
        <w:t>营业网点</w:t>
      </w:r>
      <w:r>
        <w:rPr>
          <w:rFonts w:hint="eastAsia" w:ascii="仿宋_GB2312" w:hAnsi="仿宋_GB2312" w:eastAsia="仿宋_GB2312" w:cs="仿宋_GB2312"/>
          <w:b w:val="0"/>
          <w:i w:val="0"/>
          <w:caps w:val="0"/>
          <w:color w:val="auto"/>
          <w:spacing w:val="0"/>
          <w:sz w:val="32"/>
          <w:szCs w:val="32"/>
          <w:u w:val="none"/>
          <w:lang w:eastAsia="zh-CN"/>
        </w:rPr>
        <w:t>建立了小微企业账户服务绿色通道，近万名网点工作人员参与账户服务知识测试。绝大多数银行实现了电子填单、开户和基本结算服务等“一站式”办理</w:t>
      </w:r>
      <w:r>
        <w:rPr>
          <w:rStyle w:val="10"/>
          <w:rFonts w:hint="eastAsia" w:ascii="仿宋_GB2312" w:hAnsi="仿宋_GB2312" w:eastAsia="仿宋_GB2312" w:cs="仿宋_GB2312"/>
          <w:b w:val="0"/>
          <w:i w:val="0"/>
          <w:caps w:val="0"/>
          <w:color w:val="auto"/>
          <w:spacing w:val="0"/>
          <w:sz w:val="32"/>
          <w:szCs w:val="32"/>
          <w:u w:val="none"/>
          <w:lang w:eastAsia="zh-CN"/>
        </w:rPr>
        <w:footnoteReference w:id="3"/>
      </w:r>
      <w:r>
        <w:rPr>
          <w:rFonts w:hint="eastAsia" w:ascii="仿宋_GB2312" w:hAnsi="仿宋_GB2312" w:eastAsia="仿宋_GB2312" w:cs="仿宋_GB2312"/>
          <w:b w:val="0"/>
          <w:i w:val="0"/>
          <w:caps w:val="0"/>
          <w:color w:val="auto"/>
          <w:spacing w:val="0"/>
          <w:sz w:val="32"/>
          <w:szCs w:val="32"/>
          <w:u w:val="none"/>
          <w:lang w:eastAsia="zh-CN"/>
        </w:rPr>
        <w:t>。</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三是促进行业自律管理。</w:t>
      </w:r>
      <w:r>
        <w:rPr>
          <w:rFonts w:hint="eastAsia" w:ascii="仿宋_GB2312" w:hAnsi="仿宋_GB2312" w:eastAsia="仿宋_GB2312" w:cs="仿宋_GB2312"/>
          <w:b w:val="0"/>
          <w:i w:val="0"/>
          <w:caps w:val="0"/>
          <w:color w:val="auto"/>
          <w:spacing w:val="0"/>
          <w:sz w:val="32"/>
          <w:szCs w:val="32"/>
          <w:u w:val="none"/>
          <w:lang w:eastAsia="zh-CN"/>
        </w:rPr>
        <w:t>指导四川省支付清算协会制定《四川省银行账户开立业务行业指导意见》《四川省银行结算账户开立服务规范》《小微企业开户手册》《个人银行结算账户开户手册》，规范行业服务标准，促进账户服务水平全面提升。</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四是提升开户透明度</w:t>
      </w:r>
      <w:r>
        <w:rPr>
          <w:rFonts w:hint="eastAsia" w:ascii="仿宋_GB2312" w:hAnsi="仿宋_GB2312" w:eastAsia="仿宋_GB2312" w:cs="仿宋_GB2312"/>
          <w:b w:val="0"/>
          <w:i w:val="0"/>
          <w:caps w:val="0"/>
          <w:color w:val="auto"/>
          <w:spacing w:val="0"/>
          <w:sz w:val="32"/>
          <w:szCs w:val="32"/>
          <w:u w:val="none"/>
          <w:lang w:eastAsia="zh-CN"/>
        </w:rPr>
        <w:t>。组织公示账户服务事项、服务监督电话、负面清单等，让账户服务接受社会广泛监督。目前，四川银行网点实现三级服务监督电话</w:t>
      </w:r>
      <w:r>
        <w:rPr>
          <w:rStyle w:val="10"/>
          <w:rFonts w:hint="eastAsia" w:ascii="仿宋_GB2312" w:hAnsi="仿宋_GB2312" w:eastAsia="仿宋_GB2312" w:cs="仿宋_GB2312"/>
          <w:b w:val="0"/>
          <w:i w:val="0"/>
          <w:caps w:val="0"/>
          <w:color w:val="auto"/>
          <w:spacing w:val="0"/>
          <w:sz w:val="32"/>
          <w:szCs w:val="32"/>
          <w:u w:val="none"/>
          <w:lang w:eastAsia="zh-CN"/>
        </w:rPr>
        <w:footnoteReference w:id="4"/>
      </w:r>
      <w:r>
        <w:rPr>
          <w:rFonts w:hint="eastAsia" w:ascii="仿宋_GB2312" w:hAnsi="仿宋_GB2312" w:eastAsia="仿宋_GB2312" w:cs="仿宋_GB2312"/>
          <w:b w:val="0"/>
          <w:i w:val="0"/>
          <w:caps w:val="0"/>
          <w:color w:val="auto"/>
          <w:spacing w:val="0"/>
          <w:sz w:val="32"/>
          <w:szCs w:val="32"/>
          <w:u w:val="none"/>
          <w:lang w:eastAsia="zh-CN"/>
        </w:rPr>
        <w:t>全覆盖，公示账户服务“负面清单”</w:t>
      </w:r>
      <w:r>
        <w:rPr>
          <w:rStyle w:val="10"/>
          <w:rFonts w:hint="eastAsia" w:ascii="仿宋_GB2312" w:hAnsi="仿宋_GB2312" w:eastAsia="仿宋_GB2312" w:cs="仿宋_GB2312"/>
          <w:b w:val="0"/>
          <w:i w:val="0"/>
          <w:caps w:val="0"/>
          <w:color w:val="auto"/>
          <w:spacing w:val="0"/>
          <w:sz w:val="32"/>
          <w:szCs w:val="32"/>
          <w:u w:val="none"/>
          <w:lang w:eastAsia="zh-CN"/>
        </w:rPr>
        <w:footnoteReference w:id="5"/>
      </w:r>
      <w:r>
        <w:rPr>
          <w:rFonts w:hint="eastAsia" w:ascii="仿宋_GB2312" w:hAnsi="仿宋_GB2312" w:eastAsia="仿宋_GB2312" w:cs="仿宋_GB2312"/>
          <w:b w:val="0"/>
          <w:i w:val="0"/>
          <w:caps w:val="0"/>
          <w:color w:val="auto"/>
          <w:spacing w:val="0"/>
          <w:sz w:val="32"/>
          <w:szCs w:val="32"/>
          <w:u w:val="none"/>
          <w:lang w:eastAsia="zh-CN"/>
        </w:rPr>
        <w:t>的网点数占比近</w:t>
      </w:r>
      <w:r>
        <w:rPr>
          <w:rFonts w:hint="eastAsia" w:ascii="仿宋_GB2312" w:hAnsi="仿宋_GB2312" w:eastAsia="仿宋_GB2312" w:cs="仿宋_GB2312"/>
          <w:b w:val="0"/>
          <w:i w:val="0"/>
          <w:caps w:val="0"/>
          <w:color w:val="auto"/>
          <w:spacing w:val="0"/>
          <w:sz w:val="32"/>
          <w:szCs w:val="32"/>
          <w:u w:val="none"/>
          <w:lang w:val="en-US" w:eastAsia="zh-CN"/>
        </w:rPr>
        <w:t>90%</w:t>
      </w:r>
      <w:r>
        <w:rPr>
          <w:rFonts w:hint="eastAsia" w:ascii="仿宋_GB2312" w:hAnsi="仿宋_GB2312" w:eastAsia="仿宋_GB2312" w:cs="仿宋_GB2312"/>
          <w:b w:val="0"/>
          <w:i w:val="0"/>
          <w:caps w:val="0"/>
          <w:color w:val="auto"/>
          <w:spacing w:val="0"/>
          <w:sz w:val="32"/>
          <w:szCs w:val="32"/>
          <w:u w:val="none"/>
          <w:lang w:eastAsia="zh-CN"/>
        </w:rPr>
        <w:t>，企业账户服务“三公开”</w:t>
      </w:r>
      <w:r>
        <w:rPr>
          <w:rStyle w:val="10"/>
          <w:rFonts w:hint="eastAsia" w:ascii="仿宋_GB2312" w:hAnsi="仿宋_GB2312" w:eastAsia="仿宋_GB2312" w:cs="仿宋_GB2312"/>
          <w:b w:val="0"/>
          <w:i w:val="0"/>
          <w:caps w:val="0"/>
          <w:color w:val="auto"/>
          <w:spacing w:val="0"/>
          <w:sz w:val="32"/>
          <w:szCs w:val="32"/>
          <w:u w:val="none"/>
          <w:lang w:eastAsia="zh-CN"/>
        </w:rPr>
        <w:footnoteReference w:id="6"/>
      </w:r>
      <w:r>
        <w:rPr>
          <w:rFonts w:hint="eastAsia" w:ascii="仿宋_GB2312" w:hAnsi="仿宋_GB2312" w:eastAsia="仿宋_GB2312" w:cs="仿宋_GB2312"/>
          <w:b w:val="0"/>
          <w:i w:val="0"/>
          <w:caps w:val="0"/>
          <w:color w:val="auto"/>
          <w:spacing w:val="0"/>
          <w:sz w:val="32"/>
          <w:szCs w:val="32"/>
          <w:u w:val="none"/>
          <w:lang w:eastAsia="zh-CN"/>
        </w:rPr>
        <w:t>公示网点占比超</w:t>
      </w:r>
      <w:r>
        <w:rPr>
          <w:rFonts w:hint="eastAsia" w:ascii="仿宋_GB2312" w:hAnsi="仿宋_GB2312" w:eastAsia="仿宋_GB2312" w:cs="仿宋_GB2312"/>
          <w:b w:val="0"/>
          <w:i w:val="0"/>
          <w:caps w:val="0"/>
          <w:color w:val="auto"/>
          <w:spacing w:val="0"/>
          <w:sz w:val="32"/>
          <w:szCs w:val="32"/>
          <w:u w:val="none"/>
          <w:lang w:val="en-US" w:eastAsia="zh-CN"/>
        </w:rPr>
        <w:t>70%，个人账户服务“三公开”</w:t>
      </w:r>
      <w:r>
        <w:rPr>
          <w:rStyle w:val="10"/>
          <w:rFonts w:hint="eastAsia" w:ascii="仿宋_GB2312" w:hAnsi="仿宋_GB2312" w:eastAsia="仿宋_GB2312" w:cs="仿宋_GB2312"/>
          <w:b w:val="0"/>
          <w:i w:val="0"/>
          <w:caps w:val="0"/>
          <w:color w:val="auto"/>
          <w:spacing w:val="0"/>
          <w:sz w:val="32"/>
          <w:szCs w:val="32"/>
          <w:u w:val="none"/>
          <w:lang w:val="en-US" w:eastAsia="zh-CN"/>
        </w:rPr>
        <w:footnoteReference w:id="7"/>
      </w:r>
      <w:r>
        <w:rPr>
          <w:rFonts w:hint="eastAsia" w:ascii="仿宋_GB2312" w:hAnsi="仿宋_GB2312" w:eastAsia="仿宋_GB2312" w:cs="仿宋_GB2312"/>
          <w:b w:val="0"/>
          <w:i w:val="0"/>
          <w:caps w:val="0"/>
          <w:color w:val="auto"/>
          <w:spacing w:val="0"/>
          <w:sz w:val="32"/>
          <w:szCs w:val="32"/>
          <w:u w:val="none"/>
          <w:lang w:val="en-US" w:eastAsia="zh-CN"/>
        </w:rPr>
        <w:t>公示网点达90%</w:t>
      </w:r>
      <w:r>
        <w:rPr>
          <w:rFonts w:hint="eastAsia" w:ascii="仿宋_GB2312" w:hAnsi="仿宋_GB2312" w:eastAsia="仿宋_GB2312" w:cs="仿宋_GB2312"/>
          <w:b w:val="0"/>
          <w:i w:val="0"/>
          <w:caps w:val="0"/>
          <w:color w:val="auto"/>
          <w:spacing w:val="0"/>
          <w:sz w:val="32"/>
          <w:szCs w:val="32"/>
          <w:u w:val="none"/>
          <w:lang w:eastAsia="zh-CN"/>
        </w:rPr>
        <w:t>。开户服务满意度调查显示满意度达</w:t>
      </w:r>
      <w:r>
        <w:rPr>
          <w:rFonts w:hint="eastAsia" w:ascii="仿宋_GB2312" w:hAnsi="仿宋_GB2312" w:eastAsia="仿宋_GB2312" w:cs="仿宋_GB2312"/>
          <w:b w:val="0"/>
          <w:i w:val="0"/>
          <w:caps w:val="0"/>
          <w:color w:val="auto"/>
          <w:spacing w:val="0"/>
          <w:sz w:val="32"/>
          <w:szCs w:val="32"/>
          <w:u w:val="none"/>
          <w:lang w:val="en-US" w:eastAsia="zh-CN"/>
        </w:rPr>
        <w:t>99%以上。</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楷体_GB2312" w:hAnsi="楷体_GB2312" w:eastAsia="楷体_GB2312" w:cs="楷体_GB2312"/>
          <w:b/>
          <w:bCs/>
          <w:i w:val="0"/>
          <w:caps w:val="0"/>
          <w:color w:val="auto"/>
          <w:spacing w:val="0"/>
          <w:sz w:val="32"/>
          <w:szCs w:val="32"/>
          <w:u w:val="none"/>
          <w:lang w:eastAsia="zh-CN"/>
        </w:rPr>
      </w:pPr>
      <w:r>
        <w:rPr>
          <w:rFonts w:hint="eastAsia" w:ascii="楷体_GB2312" w:hAnsi="楷体_GB2312" w:eastAsia="楷体_GB2312" w:cs="楷体_GB2312"/>
          <w:b/>
          <w:bCs/>
          <w:i w:val="0"/>
          <w:caps w:val="0"/>
          <w:color w:val="auto"/>
          <w:spacing w:val="0"/>
          <w:sz w:val="32"/>
          <w:szCs w:val="32"/>
          <w:u w:val="none"/>
          <w:lang w:eastAsia="zh-CN"/>
        </w:rPr>
        <w:t>（二）推广银行账户分类分级管理。</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bCs w:val="0"/>
          <w:i w:val="0"/>
          <w:caps w:val="0"/>
          <w:color w:val="auto"/>
          <w:spacing w:val="0"/>
          <w:sz w:val="32"/>
          <w:szCs w:val="32"/>
          <w:u w:val="none"/>
          <w:lang w:eastAsia="zh-CN"/>
        </w:rPr>
        <w:t>通过“了解你的客户”实施账户分类分级管理，是人民银行为</w:t>
      </w:r>
      <w:r>
        <w:rPr>
          <w:rFonts w:hint="eastAsia" w:ascii="仿宋_GB2312" w:hAnsi="仿宋_GB2312" w:eastAsia="仿宋_GB2312" w:cs="仿宋_GB2312"/>
          <w:b w:val="0"/>
          <w:i w:val="0"/>
          <w:caps w:val="0"/>
          <w:color w:val="auto"/>
          <w:spacing w:val="0"/>
          <w:sz w:val="32"/>
          <w:szCs w:val="32"/>
          <w:u w:val="none"/>
          <w:lang w:eastAsia="zh-CN"/>
        </w:rPr>
        <w:t>统筹做好账户风险防控和优化账户服务所采取的重要措施。</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一是试点小微企业和个人简易开户服务</w:t>
      </w:r>
      <w:r>
        <w:rPr>
          <w:rStyle w:val="10"/>
          <w:rFonts w:hint="eastAsia" w:ascii="仿宋_GB2312" w:hAnsi="仿宋_GB2312" w:eastAsia="仿宋_GB2312" w:cs="仿宋_GB2312"/>
          <w:b/>
          <w:bCs/>
          <w:i w:val="0"/>
          <w:caps w:val="0"/>
          <w:color w:val="auto"/>
          <w:spacing w:val="0"/>
          <w:sz w:val="32"/>
          <w:szCs w:val="32"/>
          <w:u w:val="none"/>
          <w:lang w:eastAsia="zh-CN"/>
        </w:rPr>
        <w:footnoteReference w:id="8"/>
      </w:r>
      <w:r>
        <w:rPr>
          <w:rFonts w:hint="eastAsia" w:ascii="仿宋_GB2312" w:hAnsi="仿宋_GB2312" w:eastAsia="仿宋_GB2312" w:cs="仿宋_GB2312"/>
          <w:b/>
          <w:bCs/>
          <w:i w:val="0"/>
          <w:caps w:val="0"/>
          <w:color w:val="auto"/>
          <w:spacing w:val="0"/>
          <w:sz w:val="32"/>
          <w:szCs w:val="32"/>
          <w:u w:val="none"/>
          <w:lang w:eastAsia="zh-CN"/>
        </w:rPr>
        <w:t>。</w:t>
      </w:r>
      <w:r>
        <w:rPr>
          <w:rFonts w:hint="eastAsia" w:ascii="仿宋_GB2312" w:hAnsi="仿宋_GB2312" w:eastAsia="仿宋_GB2312" w:cs="仿宋_GB2312"/>
          <w:b w:val="0"/>
          <w:bCs w:val="0"/>
          <w:i w:val="0"/>
          <w:caps w:val="0"/>
          <w:color w:val="auto"/>
          <w:spacing w:val="0"/>
          <w:sz w:val="32"/>
          <w:szCs w:val="32"/>
          <w:u w:val="none"/>
          <w:lang w:eastAsia="zh-CN"/>
        </w:rPr>
        <w:t>强调账户应开尽开，</w:t>
      </w:r>
      <w:r>
        <w:rPr>
          <w:rFonts w:hint="eastAsia" w:ascii="仿宋_GB2312" w:hAnsi="仿宋_GB2312" w:eastAsia="仿宋_GB2312" w:cs="仿宋_GB2312"/>
          <w:b w:val="0"/>
          <w:i w:val="0"/>
          <w:caps w:val="0"/>
          <w:color w:val="auto"/>
          <w:spacing w:val="0"/>
          <w:sz w:val="32"/>
          <w:szCs w:val="32"/>
          <w:u w:val="none"/>
          <w:lang w:eastAsia="zh-CN"/>
        </w:rPr>
        <w:t>杜绝“一刀切”向小微企业和流动群体等个人客户提出超出必要限度的身份核实要求，目前已为</w:t>
      </w:r>
      <w:r>
        <w:rPr>
          <w:rFonts w:hint="eastAsia" w:ascii="仿宋_GB2312" w:hAnsi="仿宋_GB2312" w:eastAsia="仿宋_GB2312" w:cs="仿宋_GB2312"/>
          <w:b w:val="0"/>
          <w:i w:val="0"/>
          <w:caps w:val="0"/>
          <w:color w:val="auto"/>
          <w:spacing w:val="0"/>
          <w:sz w:val="32"/>
          <w:szCs w:val="32"/>
          <w:u w:val="none"/>
          <w:lang w:val="en-US" w:eastAsia="zh-CN"/>
        </w:rPr>
        <w:t>1800余个小微企业、160余万个个人开立简易账户，</w:t>
      </w:r>
      <w:r>
        <w:rPr>
          <w:rFonts w:hint="eastAsia" w:ascii="仿宋_GB2312" w:hAnsi="仿宋_GB2312" w:eastAsia="仿宋_GB2312" w:cs="仿宋_GB2312"/>
          <w:b w:val="0"/>
          <w:i w:val="0"/>
          <w:caps w:val="0"/>
          <w:color w:val="auto"/>
          <w:spacing w:val="0"/>
          <w:sz w:val="32"/>
          <w:szCs w:val="32"/>
          <w:highlight w:val="none"/>
          <w:u w:val="none"/>
          <w:lang w:val="en-US" w:eastAsia="zh-CN"/>
        </w:rPr>
        <w:t>小微企业可在申请当日完成开户</w:t>
      </w:r>
      <w:r>
        <w:rPr>
          <w:rFonts w:hint="eastAsia" w:ascii="仿宋_GB2312" w:hAnsi="仿宋_GB2312" w:eastAsia="仿宋_GB2312" w:cs="仿宋_GB2312"/>
          <w:b w:val="0"/>
          <w:i w:val="0"/>
          <w:caps w:val="0"/>
          <w:color w:val="auto"/>
          <w:spacing w:val="0"/>
          <w:sz w:val="32"/>
          <w:szCs w:val="32"/>
          <w:u w:val="none"/>
          <w:lang w:val="en-US" w:eastAsia="zh-CN"/>
        </w:rPr>
        <w:t>，“开户难”问题基本好转，与此同时新开卡涉案账户全国排名持续下降至20位，开户风险也得到了有效防控</w:t>
      </w:r>
      <w:r>
        <w:rPr>
          <w:rFonts w:hint="eastAsia" w:ascii="仿宋_GB2312" w:hAnsi="仿宋_GB2312" w:eastAsia="仿宋_GB2312" w:cs="仿宋_GB2312"/>
          <w:b w:val="0"/>
          <w:i w:val="0"/>
          <w:caps w:val="0"/>
          <w:color w:val="auto"/>
          <w:spacing w:val="0"/>
          <w:sz w:val="32"/>
          <w:szCs w:val="32"/>
          <w:u w:val="none"/>
          <w:lang w:eastAsia="zh-CN"/>
        </w:rPr>
        <w:t>。</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highlight w:val="none"/>
          <w:u w:val="none"/>
          <w:lang w:val="en-US" w:eastAsia="zh-CN"/>
        </w:rPr>
      </w:pPr>
      <w:r>
        <w:rPr>
          <w:rFonts w:hint="eastAsia" w:ascii="仿宋_GB2312" w:hAnsi="仿宋_GB2312" w:eastAsia="仿宋_GB2312" w:cs="仿宋_GB2312"/>
          <w:b/>
          <w:bCs/>
          <w:i w:val="0"/>
          <w:caps w:val="0"/>
          <w:color w:val="auto"/>
          <w:spacing w:val="0"/>
          <w:sz w:val="32"/>
          <w:szCs w:val="32"/>
          <w:u w:val="none"/>
          <w:lang w:eastAsia="zh-CN"/>
        </w:rPr>
        <w:t>二是推动银行建立账户分类分级管理体系。</w:t>
      </w:r>
      <w:r>
        <w:rPr>
          <w:rFonts w:hint="eastAsia" w:ascii="仿宋_GB2312" w:hAnsi="仿宋_GB2312" w:eastAsia="仿宋_GB2312" w:cs="仿宋_GB2312"/>
          <w:b w:val="0"/>
          <w:bCs w:val="0"/>
          <w:i w:val="0"/>
          <w:caps w:val="0"/>
          <w:color w:val="auto"/>
          <w:spacing w:val="0"/>
          <w:sz w:val="32"/>
          <w:szCs w:val="32"/>
          <w:u w:val="none"/>
          <w:lang w:eastAsia="zh-CN"/>
        </w:rPr>
        <w:t>推动银行充分运用企业数据、社保数据、公安数据，让数据多跑路，客户少跑路，在此基础上实现账户风险分级，匹配不同账户功能，确保客户服务精准、风险防控精准。</w:t>
      </w:r>
      <w:r>
        <w:rPr>
          <w:rFonts w:hint="eastAsia" w:ascii="仿宋_GB2312" w:hAnsi="仿宋_GB2312" w:eastAsia="仿宋_GB2312" w:cs="仿宋_GB2312"/>
          <w:b w:val="0"/>
          <w:i w:val="0"/>
          <w:caps w:val="0"/>
          <w:color w:val="auto"/>
          <w:spacing w:val="0"/>
          <w:sz w:val="32"/>
          <w:szCs w:val="32"/>
          <w:u w:val="none"/>
          <w:lang w:eastAsia="zh-CN"/>
        </w:rPr>
        <w:t>目前四川辖内</w:t>
      </w:r>
      <w:r>
        <w:rPr>
          <w:rFonts w:hint="eastAsia" w:ascii="仿宋_GB2312" w:hAnsi="仿宋_GB2312" w:eastAsia="仿宋_GB2312" w:cs="仿宋_GB2312"/>
          <w:b w:val="0"/>
          <w:i w:val="0"/>
          <w:caps w:val="0"/>
          <w:color w:val="auto"/>
          <w:spacing w:val="0"/>
          <w:sz w:val="32"/>
          <w:szCs w:val="32"/>
          <w:u w:val="none"/>
          <w:lang w:val="en-US" w:eastAsia="zh-CN"/>
        </w:rPr>
        <w:t>银行机构已初步建立账户分类分级管理体系，开户环节全面实现账户功能合理匹配，部分银行还对存量账户探索开展了账户分类分级管理，控制存量账户涉诈风险。</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楷体_GB2312" w:hAnsi="楷体_GB2312" w:eastAsia="楷体_GB2312" w:cs="楷体_GB2312"/>
          <w:b/>
          <w:bCs/>
          <w:i w:val="0"/>
          <w:caps w:val="0"/>
          <w:color w:val="auto"/>
          <w:spacing w:val="0"/>
          <w:sz w:val="32"/>
          <w:szCs w:val="32"/>
          <w:u w:val="none"/>
          <w:lang w:eastAsia="zh-CN"/>
        </w:rPr>
      </w:pPr>
      <w:r>
        <w:rPr>
          <w:rFonts w:hint="eastAsia" w:ascii="楷体_GB2312" w:hAnsi="楷体_GB2312" w:eastAsia="楷体_GB2312" w:cs="楷体_GB2312"/>
          <w:b/>
          <w:bCs/>
          <w:i w:val="0"/>
          <w:caps w:val="0"/>
          <w:color w:val="auto"/>
          <w:spacing w:val="0"/>
          <w:sz w:val="32"/>
          <w:szCs w:val="32"/>
          <w:u w:val="none"/>
          <w:lang w:eastAsia="zh-CN"/>
        </w:rPr>
        <w:t>（三）建立银行账户管理长效机制。</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eastAsia="zh-CN"/>
        </w:rPr>
        <w:t>不断丰富、发展账户管理措施，推动账户管理长治久安。</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一是</w:t>
      </w:r>
      <w:r>
        <w:rPr>
          <w:rFonts w:hint="eastAsia" w:ascii="仿宋_GB2312" w:hAnsi="仿宋_GB2312" w:eastAsia="仿宋_GB2312" w:cs="仿宋_GB2312"/>
          <w:b w:val="0"/>
          <w:bCs w:val="0"/>
          <w:i w:val="0"/>
          <w:caps w:val="0"/>
          <w:color w:val="auto"/>
          <w:spacing w:val="0"/>
          <w:sz w:val="32"/>
          <w:szCs w:val="32"/>
          <w:u w:val="none"/>
          <w:lang w:eastAsia="zh-CN"/>
        </w:rPr>
        <w:t>针对涉案账户中存量账户占比接近</w:t>
      </w:r>
      <w:r>
        <w:rPr>
          <w:rFonts w:hint="eastAsia" w:ascii="仿宋_GB2312" w:hAnsi="仿宋_GB2312" w:eastAsia="仿宋_GB2312" w:cs="仿宋_GB2312"/>
          <w:b w:val="0"/>
          <w:bCs w:val="0"/>
          <w:i w:val="0"/>
          <w:caps w:val="0"/>
          <w:color w:val="auto"/>
          <w:spacing w:val="0"/>
          <w:sz w:val="32"/>
          <w:szCs w:val="32"/>
          <w:u w:val="none"/>
          <w:lang w:val="en-US" w:eastAsia="zh-CN"/>
        </w:rPr>
        <w:t>70%的情况，</w:t>
      </w:r>
      <w:r>
        <w:rPr>
          <w:rFonts w:hint="eastAsia" w:ascii="仿宋_GB2312" w:hAnsi="仿宋_GB2312" w:eastAsia="仿宋_GB2312" w:cs="仿宋_GB2312"/>
          <w:b/>
          <w:bCs/>
          <w:i w:val="0"/>
          <w:caps w:val="0"/>
          <w:color w:val="auto"/>
          <w:spacing w:val="0"/>
          <w:sz w:val="32"/>
          <w:szCs w:val="32"/>
          <w:u w:val="none"/>
          <w:lang w:eastAsia="zh-CN"/>
        </w:rPr>
        <w:t>组织银行机构开展存量个人账户清理</w:t>
      </w:r>
      <w:r>
        <w:rPr>
          <w:rFonts w:hint="eastAsia" w:ascii="仿宋_GB2312" w:hAnsi="仿宋_GB2312" w:eastAsia="仿宋_GB2312" w:cs="仿宋_GB2312"/>
          <w:b w:val="0"/>
          <w:i w:val="0"/>
          <w:caps w:val="0"/>
          <w:color w:val="auto"/>
          <w:spacing w:val="0"/>
          <w:sz w:val="32"/>
          <w:szCs w:val="32"/>
          <w:u w:val="none"/>
          <w:lang w:eastAsia="zh-CN"/>
        </w:rPr>
        <w:t>，目前已累计清理“一人多户”</w:t>
      </w:r>
      <w:r>
        <w:rPr>
          <w:rStyle w:val="10"/>
          <w:rFonts w:hint="eastAsia" w:ascii="仿宋_GB2312" w:hAnsi="仿宋_GB2312" w:eastAsia="仿宋_GB2312" w:cs="仿宋_GB2312"/>
          <w:b w:val="0"/>
          <w:i w:val="0"/>
          <w:caps w:val="0"/>
          <w:color w:val="auto"/>
          <w:spacing w:val="0"/>
          <w:sz w:val="32"/>
          <w:szCs w:val="32"/>
          <w:u w:val="none"/>
          <w:lang w:eastAsia="zh-CN"/>
        </w:rPr>
        <w:footnoteReference w:id="9"/>
      </w:r>
      <w:r>
        <w:rPr>
          <w:rFonts w:hint="eastAsia" w:ascii="仿宋_GB2312" w:hAnsi="仿宋_GB2312" w:eastAsia="仿宋_GB2312" w:cs="仿宋_GB2312"/>
          <w:b w:val="0"/>
          <w:i w:val="0"/>
          <w:caps w:val="0"/>
          <w:color w:val="auto"/>
          <w:spacing w:val="0"/>
          <w:sz w:val="32"/>
          <w:szCs w:val="32"/>
          <w:u w:val="none"/>
          <w:lang w:val="en-US" w:eastAsia="zh-CN"/>
        </w:rPr>
        <w:t>1800余万户，</w:t>
      </w:r>
      <w:r>
        <w:rPr>
          <w:rFonts w:hint="eastAsia" w:ascii="仿宋_GB2312" w:hAnsi="仿宋_GB2312" w:eastAsia="仿宋_GB2312" w:cs="仿宋_GB2312"/>
          <w:b w:val="0"/>
          <w:i w:val="0"/>
          <w:caps w:val="0"/>
          <w:color w:val="auto"/>
          <w:spacing w:val="0"/>
          <w:sz w:val="32"/>
          <w:szCs w:val="32"/>
          <w:u w:val="none"/>
          <w:lang w:eastAsia="zh-CN"/>
        </w:rPr>
        <w:t>撤销“长期不动户”</w:t>
      </w:r>
      <w:r>
        <w:rPr>
          <w:rStyle w:val="10"/>
          <w:rFonts w:hint="eastAsia" w:ascii="仿宋_GB2312" w:hAnsi="仿宋_GB2312" w:eastAsia="仿宋_GB2312" w:cs="仿宋_GB2312"/>
          <w:b w:val="0"/>
          <w:i w:val="0"/>
          <w:caps w:val="0"/>
          <w:color w:val="auto"/>
          <w:spacing w:val="0"/>
          <w:sz w:val="32"/>
          <w:szCs w:val="32"/>
          <w:u w:val="none"/>
          <w:lang w:eastAsia="zh-CN"/>
        </w:rPr>
        <w:footnoteReference w:id="10"/>
      </w:r>
      <w:r>
        <w:rPr>
          <w:rFonts w:hint="eastAsia" w:ascii="仿宋_GB2312" w:hAnsi="仿宋_GB2312" w:eastAsia="仿宋_GB2312" w:cs="仿宋_GB2312"/>
          <w:b w:val="0"/>
          <w:i w:val="0"/>
          <w:caps w:val="0"/>
          <w:color w:val="auto"/>
          <w:spacing w:val="0"/>
          <w:sz w:val="32"/>
          <w:szCs w:val="32"/>
          <w:u w:val="none"/>
          <w:lang w:val="en-US" w:eastAsia="zh-CN"/>
        </w:rPr>
        <w:t>6900余</w:t>
      </w:r>
      <w:r>
        <w:rPr>
          <w:rFonts w:hint="eastAsia" w:ascii="仿宋_GB2312" w:hAnsi="仿宋_GB2312" w:eastAsia="仿宋_GB2312" w:cs="仿宋_GB2312"/>
          <w:b w:val="0"/>
          <w:i w:val="0"/>
          <w:caps w:val="0"/>
          <w:color w:val="auto"/>
          <w:spacing w:val="0"/>
          <w:sz w:val="32"/>
          <w:szCs w:val="32"/>
          <w:u w:val="none"/>
          <w:lang w:eastAsia="zh-CN"/>
        </w:rPr>
        <w:t>万户。</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二是抓紧抓实涉案账户倒查。</w:t>
      </w:r>
      <w:r>
        <w:rPr>
          <w:rFonts w:hint="eastAsia" w:ascii="仿宋_GB2312" w:hAnsi="仿宋_GB2312" w:eastAsia="仿宋_GB2312" w:cs="仿宋_GB2312"/>
          <w:b w:val="0"/>
          <w:i w:val="0"/>
          <w:caps w:val="0"/>
          <w:color w:val="auto"/>
          <w:spacing w:val="0"/>
          <w:sz w:val="32"/>
          <w:szCs w:val="32"/>
          <w:u w:val="none"/>
          <w:lang w:eastAsia="zh-CN"/>
        </w:rPr>
        <w:t>组织银行对1.95万个涉案账户开展倒查，严肃追究银行管理责任，</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262个银行网点采取监管措施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银行内部追责</w:t>
      </w:r>
      <w:r>
        <w:rPr>
          <w:rFonts w:hint="eastAsia" w:ascii="仿宋_GB2312" w:hAnsi="仿宋_GB2312" w:eastAsia="仿宋_GB2312" w:cs="仿宋_GB2312"/>
          <w:sz w:val="32"/>
          <w:szCs w:val="32"/>
          <w:u w:val="none"/>
          <w:lang w:val="en-US" w:eastAsia="zh-CN"/>
        </w:rPr>
        <w:t>1700余</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6家银行13个营业网点暂停办理开户业务</w:t>
      </w:r>
      <w:r>
        <w:rPr>
          <w:rFonts w:hint="eastAsia" w:ascii="仿宋_GB2312" w:hAnsi="仿宋_GB2312" w:eastAsia="仿宋_GB2312" w:cs="仿宋_GB2312"/>
          <w:b w:val="0"/>
          <w:i w:val="0"/>
          <w:caps w:val="0"/>
          <w:color w:val="auto"/>
          <w:spacing w:val="0"/>
          <w:sz w:val="32"/>
          <w:szCs w:val="32"/>
          <w:u w:val="none"/>
          <w:lang w:val="en-US" w:eastAsia="zh-CN"/>
        </w:rPr>
        <w:t>。</w:t>
      </w:r>
      <w:r>
        <w:rPr>
          <w:rFonts w:hint="eastAsia" w:ascii="仿宋_GB2312" w:hAnsi="仿宋_GB2312" w:eastAsia="仿宋_GB2312" w:cs="仿宋_GB2312"/>
          <w:b w:val="0"/>
          <w:i w:val="0"/>
          <w:caps w:val="0"/>
          <w:color w:val="auto"/>
          <w:spacing w:val="0"/>
          <w:sz w:val="32"/>
          <w:szCs w:val="32"/>
          <w:u w:val="none"/>
          <w:lang w:eastAsia="zh-CN"/>
        </w:rPr>
        <w:t>建立涉案账户分析工作专班，关联排查</w:t>
      </w:r>
      <w:r>
        <w:rPr>
          <w:rFonts w:hint="eastAsia" w:ascii="仿宋_GB2312" w:hAnsi="仿宋_GB2312" w:eastAsia="仿宋_GB2312" w:cs="仿宋_GB2312"/>
          <w:b w:val="0"/>
          <w:i w:val="0"/>
          <w:caps w:val="0"/>
          <w:color w:val="auto"/>
          <w:spacing w:val="0"/>
          <w:sz w:val="32"/>
          <w:szCs w:val="32"/>
          <w:u w:val="none"/>
          <w:lang w:val="en-US" w:eastAsia="zh-CN"/>
        </w:rPr>
        <w:t>20余</w:t>
      </w:r>
      <w:r>
        <w:rPr>
          <w:rFonts w:hint="eastAsia" w:ascii="仿宋_GB2312" w:hAnsi="仿宋_GB2312" w:eastAsia="仿宋_GB2312" w:cs="仿宋_GB2312"/>
          <w:b w:val="0"/>
          <w:i w:val="0"/>
          <w:caps w:val="0"/>
          <w:color w:val="auto"/>
          <w:spacing w:val="0"/>
          <w:sz w:val="32"/>
          <w:szCs w:val="32"/>
          <w:u w:val="none"/>
          <w:lang w:eastAsia="zh-CN"/>
        </w:rPr>
        <w:t>万个相关账户，管控</w:t>
      </w:r>
      <w:r>
        <w:rPr>
          <w:rFonts w:hint="eastAsia" w:ascii="仿宋_GB2312" w:hAnsi="仿宋_GB2312" w:eastAsia="仿宋_GB2312" w:cs="仿宋_GB2312"/>
          <w:b w:val="0"/>
          <w:i w:val="0"/>
          <w:caps w:val="0"/>
          <w:color w:val="auto"/>
          <w:spacing w:val="0"/>
          <w:sz w:val="32"/>
          <w:szCs w:val="32"/>
          <w:u w:val="none"/>
          <w:lang w:val="en-US" w:eastAsia="zh-CN"/>
        </w:rPr>
        <w:t>6</w:t>
      </w:r>
      <w:r>
        <w:rPr>
          <w:rFonts w:hint="eastAsia" w:ascii="仿宋_GB2312" w:hAnsi="仿宋_GB2312" w:eastAsia="仿宋_GB2312" w:cs="仿宋_GB2312"/>
          <w:b w:val="0"/>
          <w:i w:val="0"/>
          <w:caps w:val="0"/>
          <w:color w:val="auto"/>
          <w:spacing w:val="0"/>
          <w:sz w:val="32"/>
          <w:szCs w:val="32"/>
          <w:u w:val="none"/>
          <w:lang w:eastAsia="zh-CN"/>
        </w:rPr>
        <w:t>万余个可疑账户。</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三是完善电信网络诈骗技防措施。</w:t>
      </w:r>
      <w:r>
        <w:rPr>
          <w:rFonts w:hint="eastAsia" w:ascii="仿宋_GB2312" w:hAnsi="仿宋_GB2312" w:eastAsia="仿宋_GB2312" w:cs="仿宋_GB2312"/>
          <w:b w:val="0"/>
          <w:bCs w:val="0"/>
          <w:sz w:val="32"/>
          <w:szCs w:val="32"/>
          <w:u w:val="none"/>
          <w:lang w:eastAsia="zh-CN"/>
        </w:rPr>
        <w:t>目前，涉案高风险银行机构均实现了开户环节“</w:t>
      </w:r>
      <w:r>
        <w:rPr>
          <w:rFonts w:hint="eastAsia" w:ascii="仿宋_GB2312" w:hAnsi="仿宋_GB2312" w:eastAsia="仿宋_GB2312" w:cs="仿宋_GB2312"/>
          <w:b w:val="0"/>
          <w:bCs w:val="0"/>
          <w:sz w:val="32"/>
          <w:szCs w:val="32"/>
          <w:lang w:eastAsia="zh-CN"/>
        </w:rPr>
        <w:t>身份核查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人脸识别</w:t>
      </w:r>
      <w:r>
        <w:rPr>
          <w:rFonts w:hint="eastAsia" w:ascii="仿宋_GB2312" w:hAnsi="仿宋_GB2312" w:eastAsia="仿宋_GB2312" w:cs="仿宋_GB2312"/>
          <w:b w:val="0"/>
          <w:bCs w:val="0"/>
          <w:sz w:val="32"/>
          <w:szCs w:val="32"/>
          <w:u w:val="none"/>
          <w:lang w:eastAsia="zh-CN"/>
        </w:rPr>
        <w:t>”，确保账户实名实人，</w:t>
      </w:r>
      <w:r>
        <w:rPr>
          <w:rFonts w:hint="eastAsia" w:ascii="仿宋_GB2312" w:hAnsi="仿宋_GB2312" w:eastAsia="仿宋_GB2312" w:cs="仿宋_GB2312"/>
          <w:b w:val="0"/>
          <w:bCs w:val="0"/>
          <w:sz w:val="32"/>
          <w:szCs w:val="32"/>
          <w:u w:val="none"/>
        </w:rPr>
        <w:t>40家银行在手机银行交易环节</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12家银行在网银交易环节</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color w:val="auto"/>
          <w:sz w:val="32"/>
          <w:szCs w:val="32"/>
          <w:highlight w:val="none"/>
          <w:u w:val="none"/>
          <w:lang w:eastAsia="zh-CN"/>
        </w:rPr>
        <w:t>中国银行</w:t>
      </w:r>
      <w:r>
        <w:rPr>
          <w:rFonts w:hint="eastAsia" w:ascii="仿宋_GB2312" w:hAnsi="仿宋_GB2312" w:eastAsia="仿宋_GB2312" w:cs="仿宋_GB2312"/>
          <w:b w:val="0"/>
          <w:bCs w:val="0"/>
          <w:sz w:val="32"/>
          <w:szCs w:val="32"/>
          <w:u w:val="none"/>
          <w:lang w:eastAsia="zh-CN"/>
        </w:rPr>
        <w:t>等部分银行在</w:t>
      </w:r>
      <w:r>
        <w:rPr>
          <w:rFonts w:hint="eastAsia" w:ascii="仿宋_GB2312" w:hAnsi="仿宋_GB2312" w:eastAsia="仿宋_GB2312" w:cs="仿宋_GB2312"/>
          <w:b w:val="0"/>
          <w:bCs w:val="0"/>
          <w:sz w:val="32"/>
          <w:szCs w:val="32"/>
          <w:u w:val="none"/>
          <w:lang w:val="en-US" w:eastAsia="zh-CN"/>
        </w:rPr>
        <w:t>ATM取款环节</w:t>
      </w:r>
      <w:r>
        <w:rPr>
          <w:rFonts w:hint="eastAsia" w:ascii="仿宋_GB2312" w:hAnsi="仿宋_GB2312" w:eastAsia="仿宋_GB2312" w:cs="仿宋_GB2312"/>
          <w:b w:val="0"/>
          <w:bCs w:val="0"/>
          <w:sz w:val="32"/>
          <w:szCs w:val="32"/>
          <w:u w:val="none"/>
          <w:lang w:eastAsia="zh-CN"/>
        </w:rPr>
        <w:t>采用了</w:t>
      </w:r>
      <w:r>
        <w:rPr>
          <w:rFonts w:hint="eastAsia" w:ascii="仿宋_GB2312" w:hAnsi="仿宋_GB2312" w:eastAsia="仿宋_GB2312" w:cs="仿宋_GB2312"/>
          <w:b w:val="0"/>
          <w:bCs w:val="0"/>
          <w:sz w:val="32"/>
          <w:szCs w:val="32"/>
          <w:u w:val="none"/>
        </w:rPr>
        <w:t>人脸识别技术</w:t>
      </w:r>
      <w:r>
        <w:rPr>
          <w:rFonts w:hint="eastAsia" w:ascii="仿宋_GB2312" w:hAnsi="仿宋_GB2312" w:eastAsia="仿宋_GB2312" w:cs="仿宋_GB2312"/>
          <w:b w:val="0"/>
          <w:bCs w:val="0"/>
          <w:sz w:val="32"/>
          <w:szCs w:val="32"/>
          <w:u w:val="none"/>
          <w:lang w:eastAsia="zh-CN"/>
        </w:rPr>
        <w:t>做交易二次验证</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针</w:t>
      </w:r>
      <w:r>
        <w:rPr>
          <w:rFonts w:hint="eastAsia" w:ascii="仿宋_GB2312" w:hAnsi="仿宋_GB2312" w:eastAsia="仿宋_GB2312" w:cs="仿宋_GB2312"/>
          <w:b w:val="0"/>
          <w:i w:val="0"/>
          <w:caps w:val="0"/>
          <w:color w:val="auto"/>
          <w:spacing w:val="0"/>
          <w:sz w:val="32"/>
          <w:szCs w:val="32"/>
          <w:u w:val="none"/>
          <w:lang w:eastAsia="zh-CN"/>
        </w:rPr>
        <w:t>对企业财务人员等电诈易感人群，组织银行加强网银对公转账提示，对单位账户余额变动设置“财务人员</w:t>
      </w:r>
      <w:r>
        <w:rPr>
          <w:rFonts w:hint="eastAsia" w:ascii="仿宋_GB2312" w:hAnsi="仿宋_GB2312" w:eastAsia="仿宋_GB2312" w:cs="仿宋_GB2312"/>
          <w:b w:val="0"/>
          <w:i w:val="0"/>
          <w:caps w:val="0"/>
          <w:color w:val="auto"/>
          <w:spacing w:val="0"/>
          <w:sz w:val="32"/>
          <w:szCs w:val="32"/>
          <w:u w:val="none"/>
          <w:lang w:val="en-US" w:eastAsia="zh-CN"/>
        </w:rPr>
        <w:t>+公司负责人</w:t>
      </w:r>
      <w:r>
        <w:rPr>
          <w:rFonts w:hint="eastAsia" w:ascii="仿宋_GB2312" w:hAnsi="仿宋_GB2312" w:eastAsia="仿宋_GB2312" w:cs="仿宋_GB2312"/>
          <w:b w:val="0"/>
          <w:i w:val="0"/>
          <w:caps w:val="0"/>
          <w:color w:val="auto"/>
          <w:spacing w:val="0"/>
          <w:sz w:val="32"/>
          <w:szCs w:val="32"/>
          <w:u w:val="none"/>
          <w:lang w:eastAsia="zh-CN"/>
        </w:rPr>
        <w:t>”双重提醒。</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四是加强账户风险防控银警协作。</w:t>
      </w:r>
      <w:r>
        <w:rPr>
          <w:rFonts w:hint="eastAsia" w:ascii="仿宋_GB2312" w:hAnsi="仿宋_GB2312" w:eastAsia="仿宋_GB2312" w:cs="仿宋_GB2312"/>
          <w:b w:val="0"/>
          <w:i w:val="0"/>
          <w:caps w:val="0"/>
          <w:color w:val="auto"/>
          <w:spacing w:val="0"/>
          <w:sz w:val="32"/>
          <w:szCs w:val="32"/>
          <w:u w:val="none"/>
          <w:lang w:eastAsia="zh-CN"/>
        </w:rPr>
        <w:t>与公安机关实现涉案情况共享，指导宜宾中支联合当地反诈中心在全国率先建设“两卡治理系统”</w:t>
      </w:r>
      <w:r>
        <w:rPr>
          <w:rStyle w:val="10"/>
          <w:rFonts w:hint="eastAsia" w:ascii="仿宋_GB2312" w:hAnsi="仿宋_GB2312" w:eastAsia="仿宋_GB2312" w:cs="仿宋_GB2312"/>
          <w:b w:val="0"/>
          <w:i w:val="0"/>
          <w:caps w:val="0"/>
          <w:color w:val="auto"/>
          <w:spacing w:val="0"/>
          <w:sz w:val="32"/>
          <w:szCs w:val="32"/>
          <w:u w:val="none"/>
          <w:lang w:eastAsia="zh-CN"/>
        </w:rPr>
        <w:footnoteReference w:id="11"/>
      </w:r>
      <w:r>
        <w:rPr>
          <w:rFonts w:hint="eastAsia" w:ascii="仿宋_GB2312" w:hAnsi="仿宋_GB2312" w:eastAsia="仿宋_GB2312" w:cs="仿宋_GB2312"/>
          <w:b w:val="0"/>
          <w:i w:val="0"/>
          <w:caps w:val="0"/>
          <w:color w:val="auto"/>
          <w:spacing w:val="0"/>
          <w:sz w:val="32"/>
          <w:szCs w:val="32"/>
          <w:u w:val="none"/>
          <w:lang w:eastAsia="zh-CN"/>
        </w:rPr>
        <w:t>，全省及时发现并阻止超过</w:t>
      </w:r>
      <w:r>
        <w:rPr>
          <w:rFonts w:hint="default" w:ascii="仿宋_GB2312" w:hAnsi="仿宋_GB2312" w:eastAsia="仿宋_GB2312" w:cs="仿宋_GB2312"/>
          <w:b w:val="0"/>
          <w:i w:val="0"/>
          <w:caps w:val="0"/>
          <w:color w:val="auto"/>
          <w:spacing w:val="0"/>
          <w:sz w:val="32"/>
          <w:szCs w:val="32"/>
          <w:u w:val="none"/>
          <w:lang w:val="en-US" w:eastAsia="zh-CN"/>
        </w:rPr>
        <w:t>1</w:t>
      </w:r>
      <w:r>
        <w:rPr>
          <w:rFonts w:hint="eastAsia" w:ascii="仿宋_GB2312" w:hAnsi="仿宋_GB2312" w:eastAsia="仿宋_GB2312" w:cs="仿宋_GB2312"/>
          <w:b w:val="0"/>
          <w:i w:val="0"/>
          <w:caps w:val="0"/>
          <w:color w:val="auto"/>
          <w:spacing w:val="0"/>
          <w:sz w:val="32"/>
          <w:szCs w:val="32"/>
          <w:u w:val="none"/>
          <w:lang w:val="en-US" w:eastAsia="zh-CN"/>
        </w:rPr>
        <w:t>万起电诈高危人员开户。参与各地反诈中心建设，共同分析研判涉案账户情况，完善账户风险监测模型</w:t>
      </w:r>
      <w:r>
        <w:rPr>
          <w:rFonts w:hint="eastAsia" w:ascii="仿宋_GB2312" w:hAnsi="仿宋_GB2312" w:eastAsia="仿宋_GB2312" w:cs="仿宋_GB2312"/>
          <w:b w:val="0"/>
          <w:i w:val="0"/>
          <w:caps w:val="0"/>
          <w:color w:val="auto"/>
          <w:spacing w:val="0"/>
          <w:sz w:val="32"/>
          <w:szCs w:val="32"/>
          <w:u w:val="none"/>
          <w:lang w:eastAsia="zh-CN"/>
        </w:rPr>
        <w:t>。落实涉案人员信用惩戒，保持持续震慑，今年以来已组织银行机构依法对公安机关认定的3647个单位和个人及相关组织者实施惩戒</w:t>
      </w:r>
      <w:r>
        <w:rPr>
          <w:rStyle w:val="10"/>
          <w:rFonts w:hint="eastAsia" w:ascii="仿宋_GB2312" w:hAnsi="仿宋_GB2312" w:eastAsia="仿宋_GB2312" w:cs="仿宋_GB2312"/>
          <w:b w:val="0"/>
          <w:i w:val="0"/>
          <w:caps w:val="0"/>
          <w:color w:val="auto"/>
          <w:spacing w:val="0"/>
          <w:sz w:val="32"/>
          <w:szCs w:val="32"/>
          <w:u w:val="none"/>
          <w:lang w:eastAsia="zh-CN"/>
        </w:rPr>
        <w:footnoteReference w:id="12"/>
      </w:r>
      <w:r>
        <w:rPr>
          <w:rFonts w:hint="eastAsia" w:ascii="仿宋_GB2312" w:hAnsi="仿宋_GB2312" w:eastAsia="仿宋_GB2312" w:cs="仿宋_GB2312"/>
          <w:b w:val="0"/>
          <w:i w:val="0"/>
          <w:caps w:val="0"/>
          <w:color w:val="auto"/>
          <w:spacing w:val="0"/>
          <w:sz w:val="32"/>
          <w:szCs w:val="32"/>
          <w:u w:val="none"/>
          <w:lang w:eastAsia="zh-CN"/>
        </w:rPr>
        <w:t>。</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楷体_GB2312" w:hAnsi="楷体_GB2312" w:eastAsia="楷体_GB2312" w:cs="楷体_GB2312"/>
          <w:b/>
          <w:bCs/>
          <w:i w:val="0"/>
          <w:caps w:val="0"/>
          <w:color w:val="auto"/>
          <w:spacing w:val="0"/>
          <w:sz w:val="32"/>
          <w:szCs w:val="32"/>
          <w:u w:val="none"/>
          <w:lang w:eastAsia="zh-CN"/>
        </w:rPr>
      </w:pPr>
      <w:r>
        <w:rPr>
          <w:rFonts w:hint="eastAsia" w:ascii="楷体_GB2312" w:hAnsi="楷体_GB2312" w:eastAsia="楷体_GB2312" w:cs="楷体_GB2312"/>
          <w:b/>
          <w:bCs/>
          <w:i w:val="0"/>
          <w:caps w:val="0"/>
          <w:color w:val="auto"/>
          <w:spacing w:val="0"/>
          <w:sz w:val="32"/>
          <w:szCs w:val="32"/>
          <w:u w:val="none"/>
          <w:lang w:eastAsia="zh-CN"/>
        </w:rPr>
        <w:t>（四）加强宣传教育。</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eastAsia="zh-CN"/>
        </w:rPr>
        <w:t>账户风险防范和优化账户服务的措施需要以易于感知的方式传递给社会公众。今年以来已组织开展</w:t>
      </w:r>
      <w:r>
        <w:rPr>
          <w:rFonts w:hint="eastAsia" w:ascii="仿宋_GB2312" w:hAnsi="仿宋_GB2312" w:eastAsia="仿宋_GB2312" w:cs="仿宋_GB2312"/>
          <w:b w:val="0"/>
          <w:i w:val="0"/>
          <w:caps w:val="0"/>
          <w:color w:val="auto"/>
          <w:spacing w:val="0"/>
          <w:sz w:val="32"/>
          <w:szCs w:val="32"/>
          <w:u w:val="none"/>
          <w:lang w:val="en-US" w:eastAsia="zh-CN"/>
        </w:rPr>
        <w:t>全民反诈、“支付为民、开户不难”“反诈拒赌、安全支付”“打赌反诈进行曲”“暖心惠民系列行动”等专题宣传，充分发动银行机构、行业自律组织通过网点、官方公众号，</w:t>
      </w:r>
      <w:r>
        <w:rPr>
          <w:rFonts w:hint="eastAsia" w:ascii="仿宋_GB2312" w:hAnsi="仿宋_GB2312" w:eastAsia="仿宋_GB2312" w:cs="仿宋_GB2312"/>
          <w:b w:val="0"/>
          <w:i w:val="0"/>
          <w:caps w:val="0"/>
          <w:color w:val="auto"/>
          <w:spacing w:val="0"/>
          <w:sz w:val="32"/>
          <w:szCs w:val="32"/>
          <w:u w:val="none"/>
          <w:lang w:eastAsia="zh-CN"/>
        </w:rPr>
        <w:t>进社区、进集市、进商铺、进校园，发挥助农取款点农村地区“桥头堡”的优势，开展广泛宣传，让社会公众了解电信网络诈骗的形式，认识出租出借出售银行账户的法律后果，也真正享受到银行账户服务优化的好处。</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 w:hAnsi="仿宋" w:eastAsia="仿宋" w:cs="仿宋"/>
          <w:b w:val="0"/>
          <w:i w:val="0"/>
          <w:caps w:val="0"/>
          <w:color w:val="auto"/>
          <w:spacing w:val="0"/>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三、下一步工作安排</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val="en-US" w:eastAsia="zh-CN"/>
        </w:rPr>
        <w:t>下一步，</w:t>
      </w:r>
      <w:r>
        <w:rPr>
          <w:rFonts w:hint="eastAsia" w:ascii="仿宋_GB2312" w:hAnsi="仿宋_GB2312" w:eastAsia="仿宋_GB2312" w:cs="仿宋_GB2312"/>
          <w:b w:val="0"/>
          <w:bCs w:val="0"/>
          <w:i w:val="0"/>
          <w:caps w:val="0"/>
          <w:color w:val="auto"/>
          <w:spacing w:val="0"/>
          <w:sz w:val="32"/>
          <w:szCs w:val="32"/>
          <w:u w:val="none"/>
          <w:lang w:eastAsia="zh-CN"/>
        </w:rPr>
        <w:t>人民银行成都分行</w:t>
      </w:r>
      <w:r>
        <w:rPr>
          <w:rFonts w:hint="eastAsia" w:ascii="仿宋_GB2312" w:hAnsi="仿宋_GB2312" w:eastAsia="仿宋_GB2312" w:cs="仿宋_GB2312"/>
          <w:b w:val="0"/>
          <w:i w:val="0"/>
          <w:caps w:val="0"/>
          <w:color w:val="auto"/>
          <w:spacing w:val="0"/>
          <w:sz w:val="32"/>
          <w:szCs w:val="32"/>
          <w:u w:val="none"/>
          <w:lang w:val="en-US" w:eastAsia="zh-CN"/>
        </w:rPr>
        <w:t>将积极组织贯彻落实总行《关于做好流动就业群体等个人银行账户服务工作的指导意见》和《关于做好小微企业银行账户优化服务和风险防控工作的指导意见》</w:t>
      </w:r>
      <w:r>
        <w:rPr>
          <w:rFonts w:hint="eastAsia" w:ascii="仿宋_GB2312" w:hAnsi="仿宋_GB2312" w:eastAsia="仿宋_GB2312" w:cs="仿宋_GB2312"/>
          <w:b w:val="0"/>
          <w:i w:val="0"/>
          <w:caps w:val="0"/>
          <w:color w:val="auto"/>
          <w:spacing w:val="0"/>
          <w:sz w:val="32"/>
          <w:szCs w:val="32"/>
          <w:u w:val="none"/>
          <w:lang w:eastAsia="zh-CN"/>
        </w:rPr>
        <w:t>提出的各项工作部署。</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bCs/>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一是进一步优化账户服务。</w:t>
      </w:r>
      <w:r>
        <w:rPr>
          <w:rFonts w:hint="eastAsia" w:ascii="仿宋_GB2312" w:hAnsi="仿宋_GB2312" w:eastAsia="仿宋_GB2312" w:cs="仿宋_GB2312"/>
          <w:b w:val="0"/>
          <w:i w:val="0"/>
          <w:caps w:val="0"/>
          <w:color w:val="auto"/>
          <w:spacing w:val="0"/>
          <w:sz w:val="32"/>
          <w:szCs w:val="32"/>
          <w:u w:val="none"/>
          <w:lang w:eastAsia="zh-CN"/>
        </w:rPr>
        <w:t>在前期试点基础上在辖区内全面推行简易开户服务，加快银行机构与企业开办“一窗通”“银商通”平台对接进度，为新设企业提供一站式预约开户服务，推动“开户服务事项”“负面清单”全覆盖。</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二是持续加强账户风险管控。</w:t>
      </w:r>
      <w:r>
        <w:rPr>
          <w:rFonts w:hint="eastAsia" w:ascii="仿宋_GB2312" w:hAnsi="仿宋_GB2312" w:eastAsia="仿宋_GB2312" w:cs="仿宋_GB2312"/>
          <w:b w:val="0"/>
          <w:bCs w:val="0"/>
          <w:i w:val="0"/>
          <w:caps w:val="0"/>
          <w:color w:val="auto"/>
          <w:spacing w:val="0"/>
          <w:sz w:val="32"/>
          <w:szCs w:val="32"/>
          <w:u w:val="none"/>
          <w:lang w:eastAsia="zh-CN"/>
        </w:rPr>
        <w:t>推动银行机构完善账户分类分级管理体系，</w:t>
      </w:r>
      <w:r>
        <w:rPr>
          <w:rFonts w:hint="eastAsia" w:ascii="仿宋_GB2312" w:hAnsi="仿宋_GB2312" w:eastAsia="仿宋_GB2312" w:cs="仿宋_GB2312"/>
          <w:b w:val="0"/>
          <w:i w:val="0"/>
          <w:caps w:val="0"/>
          <w:color w:val="auto"/>
          <w:spacing w:val="0"/>
          <w:sz w:val="32"/>
          <w:szCs w:val="32"/>
          <w:u w:val="none"/>
          <w:lang w:eastAsia="zh-CN"/>
        </w:rPr>
        <w:t>指导人民银行分支机构、银行积极加强与公安机关沟通协作，促进重点人员信息共享和及时管控，探索建立可疑开户人员“灰名单”，加强涉案账户分析研判，强化对高风险客户和高风险交易的技防措施。</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三是建立银行账户服务监督长效机制</w:t>
      </w:r>
      <w:r>
        <w:rPr>
          <w:rFonts w:hint="eastAsia" w:ascii="仿宋_GB2312" w:hAnsi="仿宋_GB2312" w:eastAsia="仿宋_GB2312" w:cs="仿宋_GB2312"/>
          <w:b w:val="0"/>
          <w:i w:val="0"/>
          <w:caps w:val="0"/>
          <w:color w:val="auto"/>
          <w:spacing w:val="0"/>
          <w:sz w:val="32"/>
          <w:szCs w:val="32"/>
          <w:u w:val="none"/>
          <w:lang w:eastAsia="zh-CN"/>
        </w:rPr>
        <w:t>，持续开展对账户服务满意度、企业开户时长、分级分类管理、支付手续费降费等的调查、督导和暗访，广泛宣传银行账户服务措施和风险防控要求，强化社会监督，促进银行账户服务进一步提升。</w:t>
      </w: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center"/>
        <w:rPr>
          <w:rFonts w:hint="eastAsia" w:ascii="方正小标宋简体" w:hAnsi="方正小标宋简体" w:eastAsia="方正小标宋简体" w:cs="方正小标宋简体"/>
          <w:b w:val="0"/>
          <w:i w:val="0"/>
          <w:caps w:val="0"/>
          <w:color w:val="auto"/>
          <w:spacing w:val="0"/>
          <w:sz w:val="44"/>
          <w:szCs w:val="44"/>
          <w:u w:val="none"/>
          <w:lang w:eastAsia="zh-CN"/>
        </w:rPr>
      </w:pPr>
      <w:r>
        <w:rPr>
          <w:rFonts w:hint="eastAsia" w:ascii="方正小标宋简体" w:hAnsi="方正小标宋简体" w:eastAsia="方正小标宋简体" w:cs="方正小标宋简体"/>
          <w:b w:val="0"/>
          <w:i w:val="0"/>
          <w:caps w:val="0"/>
          <w:color w:val="auto"/>
          <w:spacing w:val="0"/>
          <w:sz w:val="44"/>
          <w:szCs w:val="44"/>
          <w:u w:val="none"/>
          <w:lang w:eastAsia="zh-CN"/>
        </w:rPr>
        <w:t>媒体问答</w:t>
      </w:r>
    </w:p>
    <w:p>
      <w:pPr>
        <w:pStyle w:val="6"/>
        <w:widowControl/>
        <w:numPr>
          <w:numId w:val="0"/>
        </w:numPr>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Chars="0" w:right="0"/>
        <w:jc w:val="both"/>
        <w:rPr>
          <w:rFonts w:hint="eastAsia" w:ascii="仿宋_GB2312" w:hAnsi="仿宋_GB2312" w:eastAsia="仿宋_GB2312" w:cs="仿宋_GB2312"/>
          <w:b w:val="0"/>
          <w:i w:val="0"/>
          <w:caps w:val="0"/>
          <w:color w:val="auto"/>
          <w:spacing w:val="0"/>
          <w:sz w:val="32"/>
          <w:szCs w:val="32"/>
          <w:u w:val="none"/>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u w:val="none"/>
          <w:lang w:eastAsia="zh-CN"/>
        </w:rPr>
      </w:pPr>
      <w:r>
        <w:rPr>
          <w:rFonts w:hint="eastAsia" w:ascii="仿宋_GB2312" w:hAnsi="仿宋_GB2312" w:eastAsia="仿宋_GB2312" w:cs="仿宋_GB2312"/>
          <w:b/>
          <w:bCs/>
          <w:i w:val="0"/>
          <w:caps w:val="0"/>
          <w:color w:val="auto"/>
          <w:spacing w:val="0"/>
          <w:sz w:val="32"/>
          <w:szCs w:val="32"/>
          <w:u w:val="none"/>
          <w:lang w:eastAsia="zh-CN"/>
        </w:rPr>
        <w:t>提问一</w:t>
      </w:r>
      <w:r>
        <w:rPr>
          <w:rFonts w:hint="eastAsia" w:ascii="仿宋_GB2312" w:hAnsi="仿宋_GB2312" w:eastAsia="仿宋_GB2312" w:cs="仿宋_GB2312"/>
          <w:b w:val="0"/>
          <w:bCs w:val="0"/>
          <w:i w:val="0"/>
          <w:caps w:val="0"/>
          <w:color w:val="auto"/>
          <w:spacing w:val="0"/>
          <w:sz w:val="32"/>
          <w:szCs w:val="32"/>
          <w:u w:val="none"/>
          <w:lang w:eastAsia="zh-CN"/>
        </w:rPr>
        <w:t>（四川电视台）：去年以来，人民银行就优化支付服务，降低小微企业和个体工商户支付手续费作出了安排部署，成都分行推动四川银行机构采取了哪些措施，取得什</w:t>
      </w:r>
      <w:bookmarkStart w:id="0" w:name="_GoBack"/>
      <w:bookmarkEnd w:id="0"/>
      <w:r>
        <w:rPr>
          <w:rFonts w:hint="eastAsia" w:ascii="仿宋_GB2312" w:hAnsi="仿宋_GB2312" w:eastAsia="仿宋_GB2312" w:cs="仿宋_GB2312"/>
          <w:b w:val="0"/>
          <w:bCs w:val="0"/>
          <w:i w:val="0"/>
          <w:caps w:val="0"/>
          <w:color w:val="auto"/>
          <w:spacing w:val="0"/>
          <w:sz w:val="32"/>
          <w:szCs w:val="32"/>
          <w:u w:val="none"/>
          <w:lang w:eastAsia="zh-CN"/>
        </w:rPr>
        <w:t>么样的成效？</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caps w:val="0"/>
          <w:color w:val="auto"/>
          <w:spacing w:val="0"/>
          <w:sz w:val="32"/>
          <w:szCs w:val="32"/>
          <w:u w:val="none"/>
          <w:lang w:eastAsia="zh-CN"/>
        </w:rPr>
        <w:t>人民银行积极贯彻落实国务院关于</w:t>
      </w:r>
      <w:r>
        <w:rPr>
          <w:rFonts w:hint="default" w:ascii="仿宋_GB2312" w:hAnsi="仿宋_GB2312" w:eastAsia="仿宋_GB2312" w:cs="仿宋_GB2312"/>
          <w:b w:val="0"/>
          <w:bCs w:val="0"/>
          <w:i w:val="0"/>
          <w:iCs w:val="0"/>
          <w:caps w:val="0"/>
          <w:spacing w:val="0"/>
          <w:sz w:val="32"/>
          <w:szCs w:val="32"/>
          <w:u w:val="none"/>
          <w:lang w:eastAsia="zh-CN"/>
        </w:rPr>
        <w:t>关于</w:t>
      </w:r>
      <w:r>
        <w:rPr>
          <w:rFonts w:hint="default" w:ascii="仿宋_GB2312" w:hAnsi="仿宋_GB2312" w:eastAsia="仿宋_GB2312" w:cs="仿宋_GB2312"/>
          <w:b w:val="0"/>
          <w:bCs w:val="0"/>
          <w:sz w:val="32"/>
          <w:szCs w:val="32"/>
          <w:u w:val="none"/>
        </w:rPr>
        <w:t>降低小微企业和个体工商户支付手续费</w:t>
      </w:r>
      <w:r>
        <w:rPr>
          <w:rFonts w:hint="eastAsia" w:ascii="仿宋_GB2312" w:hAnsi="仿宋_GB2312" w:eastAsia="仿宋_GB2312" w:cs="仿宋_GB2312"/>
          <w:b w:val="0"/>
          <w:bCs w:val="0"/>
          <w:sz w:val="32"/>
          <w:szCs w:val="32"/>
          <w:u w:val="none"/>
          <w:lang w:eastAsia="zh-CN"/>
        </w:rPr>
        <w:t>的</w:t>
      </w:r>
      <w:r>
        <w:rPr>
          <w:rFonts w:hint="default" w:ascii="仿宋_GB2312" w:hAnsi="仿宋_GB2312" w:eastAsia="仿宋_GB2312" w:cs="仿宋_GB2312"/>
          <w:b w:val="0"/>
          <w:bCs w:val="0"/>
          <w:sz w:val="32"/>
          <w:szCs w:val="32"/>
          <w:u w:val="none"/>
        </w:rPr>
        <w:t>工作部署</w:t>
      </w:r>
      <w:r>
        <w:rPr>
          <w:rFonts w:hint="eastAsia" w:ascii="仿宋_GB2312" w:hAnsi="仿宋_GB2312" w:eastAsia="仿宋_GB2312" w:cs="仿宋_GB2312"/>
          <w:b w:val="0"/>
          <w:bCs w:val="0"/>
          <w:sz w:val="32"/>
          <w:szCs w:val="32"/>
          <w:u w:val="none"/>
          <w:lang w:eastAsia="zh-CN"/>
        </w:rPr>
        <w:t>，组织出台的</w:t>
      </w:r>
      <w:r>
        <w:rPr>
          <w:rFonts w:hint="eastAsia" w:ascii="仿宋_GB2312" w:hAnsi="仿宋_GB2312" w:eastAsia="仿宋_GB2312" w:cs="仿宋_GB2312"/>
          <w:b w:val="0"/>
          <w:bCs w:val="0"/>
          <w:i w:val="0"/>
          <w:caps w:val="0"/>
          <w:color w:val="auto"/>
          <w:spacing w:val="0"/>
          <w:sz w:val="32"/>
          <w:szCs w:val="32"/>
          <w:u w:val="none"/>
          <w:lang w:eastAsia="zh-CN"/>
        </w:rPr>
        <w:t>支付手续费降费让利政策主要包括“四降一取”：一是降低银行账户服务收费；二是降低人民币转账汇款手续费；三是降低银行卡刷卡手续费；四是降低自动取款机（ATM）跨行取现手续费；五是取消部分票据业务收费。人民银行成都分行</w:t>
      </w:r>
      <w:r>
        <w:rPr>
          <w:rFonts w:hint="eastAsia" w:ascii="仿宋_GB2312" w:hAnsi="仿宋_GB2312" w:eastAsia="仿宋_GB2312" w:cs="仿宋_GB2312"/>
          <w:b w:val="0"/>
          <w:bCs w:val="0"/>
          <w:sz w:val="32"/>
          <w:szCs w:val="32"/>
          <w:u w:val="none"/>
          <w:lang w:eastAsia="zh-CN"/>
        </w:rPr>
        <w:t>加强降费工作组织，</w:t>
      </w:r>
      <w:r>
        <w:rPr>
          <w:rFonts w:hint="default" w:ascii="仿宋_GB2312" w:hAnsi="仿宋_GB2312" w:eastAsia="仿宋_GB2312" w:cs="仿宋_GB2312"/>
          <w:b w:val="0"/>
          <w:bCs w:val="0"/>
          <w:sz w:val="32"/>
          <w:szCs w:val="32"/>
          <w:u w:val="none"/>
          <w:lang w:eastAsia="zh-CN"/>
        </w:rPr>
        <w:t>全省金融机构积极响应，</w:t>
      </w:r>
      <w:r>
        <w:rPr>
          <w:rFonts w:hint="eastAsia" w:ascii="仿宋_GB2312" w:hAnsi="仿宋_GB2312" w:eastAsia="仿宋_GB2312" w:cs="仿宋_GB2312"/>
          <w:b w:val="0"/>
          <w:bCs w:val="0"/>
          <w:sz w:val="32"/>
          <w:szCs w:val="32"/>
          <w:u w:val="none"/>
          <w:lang w:eastAsia="zh-CN"/>
        </w:rPr>
        <w:t>应降尽降，部分金融机构还扩大降费面，确保降费政策最大限度惠及实体经济和老百姓。</w:t>
      </w:r>
      <w:r>
        <w:rPr>
          <w:rFonts w:hint="eastAsia" w:ascii="仿宋_GB2312" w:hAnsi="仿宋_GB2312" w:eastAsia="仿宋_GB2312" w:cs="仿宋_GB2312"/>
          <w:b w:val="0"/>
          <w:i w:val="0"/>
          <w:caps w:val="0"/>
          <w:color w:val="auto"/>
          <w:spacing w:val="0"/>
          <w:sz w:val="32"/>
          <w:szCs w:val="32"/>
          <w:u w:val="none"/>
          <w:lang w:eastAsia="zh-CN"/>
        </w:rPr>
        <w:t>自疫情以来，四川省银行机构已累计减免支付手续费94921.22万元，惠及小微企业和个体工商户135.33万户，正式实施减费政策后（2021年9月30日-2021年12月31日）预计让利规模达到36734.99万元</w:t>
      </w:r>
      <w:r>
        <w:rPr>
          <w:rFonts w:hint="eastAsia" w:ascii="仿宋_GB2312" w:hAnsi="仿宋_GB2312" w:eastAsia="仿宋_GB2312" w:cs="仿宋_GB2312"/>
          <w:b w:val="0"/>
          <w:bCs w:val="0"/>
          <w:i w:val="0"/>
          <w:caps w:val="0"/>
          <w:color w:val="auto"/>
          <w:spacing w:val="0"/>
          <w:sz w:val="32"/>
          <w:szCs w:val="32"/>
          <w:u w:val="none"/>
          <w:lang w:eastAsia="zh-CN"/>
        </w:rPr>
        <w:t>，进一步</w:t>
      </w:r>
      <w:r>
        <w:rPr>
          <w:rFonts w:hint="eastAsia" w:ascii="仿宋_GB2312" w:hAnsi="仿宋_GB2312" w:eastAsia="仿宋_GB2312" w:cs="仿宋_GB2312"/>
          <w:b w:val="0"/>
          <w:sz w:val="32"/>
          <w:szCs w:val="32"/>
        </w:rPr>
        <w:t>降低市场主体经营成本，优化实体经济发展环境</w:t>
      </w:r>
      <w:r>
        <w:rPr>
          <w:rFonts w:hint="eastAsia" w:ascii="仿宋_GB2312" w:hAnsi="仿宋_GB2312" w:eastAsia="仿宋_GB2312" w:cs="仿宋_GB2312"/>
          <w:b w:val="0"/>
          <w:bCs w:val="0"/>
          <w:sz w:val="32"/>
          <w:szCs w:val="32"/>
          <w:lang w:eastAsia="zh-CN"/>
        </w:rPr>
        <w:t>。</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提问二</w:t>
      </w:r>
      <w:r>
        <w:rPr>
          <w:rFonts w:hint="eastAsia" w:ascii="仿宋_GB2312" w:hAnsi="仿宋_GB2312" w:eastAsia="仿宋_GB2312" w:cs="仿宋_GB2312"/>
          <w:b w:val="0"/>
          <w:bCs w:val="0"/>
          <w:sz w:val="32"/>
          <w:szCs w:val="32"/>
          <w:lang w:eastAsia="zh-CN"/>
        </w:rPr>
        <w:t>（华西都市报）：2021年10月18日，抖音、微博等互联网平台出现一段关于四川成都“老人持身份证取钱被要求手机再认证”的短视频，人民银行成都分行在</w:t>
      </w:r>
      <w:r>
        <w:rPr>
          <w:rFonts w:hint="eastAsia" w:ascii="仿宋_GB2312" w:hAnsi="仿宋_GB2312" w:eastAsia="仿宋_GB2312" w:cs="仿宋_GB2312"/>
          <w:b w:val="0"/>
          <w:bCs w:val="0"/>
          <w:i w:val="0"/>
          <w:caps w:val="0"/>
          <w:color w:val="auto"/>
          <w:spacing w:val="0"/>
          <w:sz w:val="32"/>
          <w:szCs w:val="32"/>
          <w:u w:val="none"/>
          <w:lang w:eastAsia="zh-CN"/>
        </w:rPr>
        <w:t>提升老年人支付便利程度方面采取了哪些措施？</w:t>
      </w:r>
    </w:p>
    <w:p>
      <w:pPr>
        <w:pStyle w:val="6"/>
        <w:widowControl/>
        <w:pBdr>
          <w:top w:val="none" w:color="auto" w:sz="0" w:space="0"/>
          <w:left w:val="none" w:color="auto" w:sz="0" w:space="0"/>
          <w:bottom w:val="none" w:color="auto" w:sz="0" w:space="0"/>
          <w:right w:val="none" w:color="auto" w:sz="0" w:space="0"/>
        </w:pBdr>
        <w:spacing w:beforeLines="0" w:beforeAutospacing="0" w:after="0" w:afterLines="0" w:afterAutospacing="0" w:line="560" w:lineRule="exact"/>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highlight w:val="none"/>
          <w:u w:val="none"/>
          <w:lang w:eastAsia="zh-CN"/>
        </w:rPr>
        <w:t>自媒体报道的事件，虽然后续报道显示只是一起银行员工应变能力不足引起的偶发事件，但事件产生一定的新闻热度，反应了社会公众对于支付适老化的关注。人民银行高度重视老年人支付服务工作，出台《</w:t>
      </w:r>
      <w:r>
        <w:rPr>
          <w:rFonts w:hint="eastAsia" w:ascii="仿宋_GB2312" w:hAnsi="仿宋_GB2312" w:eastAsia="仿宋_GB2312" w:cs="仿宋_GB2312"/>
          <w:sz w:val="32"/>
          <w:szCs w:val="32"/>
          <w:highlight w:val="none"/>
          <w:u w:val="none"/>
        </w:rPr>
        <w:t>中国人民银行办公厅关于提升老年人支付服务便利化程度的意见</w:t>
      </w:r>
      <w:r>
        <w:rPr>
          <w:rFonts w:hint="eastAsia" w:ascii="仿宋_GB2312" w:hAnsi="仿宋_GB2312" w:eastAsia="仿宋_GB2312" w:cs="仿宋_GB2312"/>
          <w:b w:val="0"/>
          <w:i w:val="0"/>
          <w:caps w:val="0"/>
          <w:color w:val="auto"/>
          <w:spacing w:val="0"/>
          <w:sz w:val="32"/>
          <w:szCs w:val="32"/>
          <w:highlight w:val="none"/>
          <w:u w:val="none"/>
          <w:lang w:eastAsia="zh-CN"/>
        </w:rPr>
        <w:t>》，要求</w:t>
      </w:r>
      <w:r>
        <w:rPr>
          <w:rFonts w:hint="eastAsia" w:ascii="仿宋_GB2312" w:hAnsi="仿宋_GB2312" w:eastAsia="仿宋_GB2312" w:cs="仿宋_GB2312"/>
          <w:sz w:val="32"/>
          <w:szCs w:val="32"/>
          <w:highlight w:val="none"/>
          <w:u w:val="none"/>
        </w:rPr>
        <w:t>便利老年人办理支付结算业务</w:t>
      </w:r>
      <w:r>
        <w:rPr>
          <w:rFonts w:hint="eastAsia" w:ascii="仿宋_GB2312" w:hAnsi="仿宋_GB2312" w:eastAsia="仿宋_GB2312" w:cs="仿宋_GB2312"/>
          <w:b w:val="0"/>
          <w:i w:val="0"/>
          <w:caps w:val="0"/>
          <w:color w:val="auto"/>
          <w:spacing w:val="0"/>
          <w:sz w:val="32"/>
          <w:szCs w:val="32"/>
          <w:highlight w:val="none"/>
          <w:u w:val="none"/>
          <w:lang w:val="en-US" w:eastAsia="zh-CN"/>
        </w:rPr>
        <w:t>,</w:t>
      </w:r>
      <w:r>
        <w:rPr>
          <w:rFonts w:hint="eastAsia" w:ascii="仿宋_GB2312" w:hAnsi="仿宋_GB2312" w:eastAsia="仿宋_GB2312" w:cs="仿宋_GB2312"/>
          <w:sz w:val="32"/>
          <w:szCs w:val="32"/>
          <w:highlight w:val="none"/>
          <w:u w:val="none"/>
        </w:rPr>
        <w:t>提升老年人移动支付便利程度</w:t>
      </w:r>
      <w:r>
        <w:rPr>
          <w:rFonts w:hint="eastAsia" w:ascii="仿宋_GB2312" w:hAnsi="仿宋_GB2312" w:eastAsia="仿宋_GB2312" w:cs="仿宋_GB2312"/>
          <w:b w:val="0"/>
          <w:i w:val="0"/>
          <w:caps w:val="0"/>
          <w:color w:val="auto"/>
          <w:spacing w:val="0"/>
          <w:sz w:val="32"/>
          <w:szCs w:val="32"/>
          <w:highlight w:val="none"/>
          <w:u w:val="none"/>
          <w:lang w:eastAsia="zh-CN"/>
        </w:rPr>
        <w:t>，</w:t>
      </w:r>
      <w:r>
        <w:rPr>
          <w:rFonts w:hint="eastAsia" w:ascii="仿宋_GB2312" w:hAnsi="仿宋_GB2312" w:eastAsia="仿宋_GB2312" w:cs="仿宋_GB2312"/>
          <w:sz w:val="32"/>
          <w:szCs w:val="32"/>
          <w:highlight w:val="none"/>
          <w:u w:val="none"/>
        </w:rPr>
        <w:t>满足老年人支付服务需求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u w:val="none"/>
          <w:lang w:eastAsia="zh-CN"/>
        </w:rPr>
        <w:t>人民银行成都分行</w:t>
      </w:r>
      <w:r>
        <w:rPr>
          <w:rFonts w:hint="eastAsia" w:ascii="仿宋_GB2312" w:hAnsi="仿宋_GB2312" w:eastAsia="仿宋_GB2312" w:cs="仿宋_GB2312"/>
          <w:b w:val="0"/>
          <w:i w:val="0"/>
          <w:caps w:val="0"/>
          <w:color w:val="auto"/>
          <w:spacing w:val="0"/>
          <w:sz w:val="32"/>
          <w:szCs w:val="32"/>
          <w:highlight w:val="none"/>
          <w:u w:val="none"/>
          <w:lang w:eastAsia="zh-CN"/>
        </w:rPr>
        <w:t>将支付适老化作为“我为群众办实事”的重要内容，想老年人之所想，</w:t>
      </w:r>
      <w:r>
        <w:rPr>
          <w:rFonts w:hint="eastAsia" w:ascii="仿宋_GB2312" w:hAnsi="仿宋_GB2312" w:eastAsia="仿宋_GB2312" w:cs="仿宋_GB2312"/>
          <w:b w:val="0"/>
          <w:bCs w:val="0"/>
          <w:kern w:val="0"/>
          <w:sz w:val="32"/>
          <w:szCs w:val="32"/>
          <w:lang w:eastAsia="zh-CN"/>
        </w:rPr>
        <w:t>紧紧</w:t>
      </w:r>
      <w:r>
        <w:rPr>
          <w:rFonts w:hint="eastAsia" w:ascii="仿宋_GB2312" w:hAnsi="仿宋_GB2312" w:eastAsia="仿宋_GB2312" w:cs="仿宋_GB2312"/>
          <w:b w:val="0"/>
          <w:i w:val="0"/>
          <w:caps w:val="0"/>
          <w:color w:val="auto"/>
          <w:spacing w:val="0"/>
          <w:sz w:val="32"/>
          <w:szCs w:val="32"/>
          <w:highlight w:val="none"/>
          <w:u w:val="none"/>
          <w:lang w:eastAsia="zh-CN"/>
        </w:rPr>
        <w:t>抓住老年人支付需求特点</w:t>
      </w:r>
      <w:r>
        <w:rPr>
          <w:rFonts w:hint="eastAsia" w:ascii="仿宋_GB2312" w:hAnsi="仿宋_GB2312" w:eastAsia="仿宋_GB2312" w:cs="仿宋_GB2312"/>
          <w:b w:val="0"/>
          <w:bCs w:val="0"/>
          <w:sz w:val="32"/>
          <w:szCs w:val="32"/>
          <w:lang w:val="en-US" w:eastAsia="zh-CN"/>
        </w:rPr>
        <w:t>，出台行业公约，推动金融机构做实做细适老化工作，</w:t>
      </w:r>
      <w:r>
        <w:rPr>
          <w:rFonts w:hint="eastAsia" w:ascii="仿宋_GB2312" w:hAnsi="仿宋_GB2312" w:eastAsia="仿宋_GB2312" w:cs="仿宋_GB2312"/>
          <w:b w:val="0"/>
          <w:i w:val="0"/>
          <w:caps w:val="0"/>
          <w:color w:val="auto"/>
          <w:spacing w:val="0"/>
          <w:sz w:val="32"/>
          <w:szCs w:val="32"/>
          <w:u w:val="none"/>
          <w:lang w:eastAsia="zh-CN"/>
        </w:rPr>
        <w:t>从完善网点适老设施、优化银行适老服务、提升移动支付适老化程度三个方面</w:t>
      </w:r>
      <w:r>
        <w:rPr>
          <w:rFonts w:hint="eastAsia" w:ascii="仿宋_GB2312" w:hAnsi="仿宋_GB2312" w:eastAsia="仿宋_GB2312" w:cs="仿宋_GB2312"/>
          <w:sz w:val="32"/>
          <w:szCs w:val="32"/>
          <w:lang w:val="en-US" w:eastAsia="zh-CN"/>
        </w:rPr>
        <w:t>增强老年人支付获得感，取得显著成效</w:t>
      </w:r>
      <w:r>
        <w:rPr>
          <w:rFonts w:hint="eastAsia" w:ascii="仿宋_GB2312" w:hAnsi="仿宋_GB2312" w:eastAsia="仿宋_GB2312" w:cs="仿宋_GB2312"/>
          <w:b w:val="0"/>
          <w:i w:val="0"/>
          <w:caps w:val="0"/>
          <w:color w:val="auto"/>
          <w:spacing w:val="0"/>
          <w:sz w:val="32"/>
          <w:szCs w:val="32"/>
          <w:u w:val="none"/>
          <w:lang w:eastAsia="zh-CN"/>
        </w:rPr>
        <w:t>。一是6</w:t>
      </w:r>
      <w:r>
        <w:rPr>
          <w:rFonts w:hint="eastAsia" w:ascii="仿宋_GB2312" w:hAnsi="仿宋_GB2312" w:eastAsia="仿宋_GB2312" w:cs="仿宋_GB2312"/>
          <w:b w:val="0"/>
          <w:i w:val="0"/>
          <w:caps w:val="0"/>
          <w:color w:val="auto"/>
          <w:spacing w:val="0"/>
          <w:sz w:val="32"/>
          <w:szCs w:val="32"/>
          <w:u w:val="none"/>
          <w:lang w:val="en-US" w:eastAsia="zh-CN"/>
        </w:rPr>
        <w:t>0%的</w:t>
      </w:r>
      <w:r>
        <w:rPr>
          <w:rFonts w:hint="eastAsia" w:ascii="仿宋_GB2312" w:hAnsi="仿宋_GB2312" w:eastAsia="仿宋_GB2312" w:cs="仿宋_GB2312"/>
          <w:b w:val="0"/>
          <w:i w:val="0"/>
          <w:caps w:val="0"/>
          <w:color w:val="auto"/>
          <w:spacing w:val="0"/>
          <w:sz w:val="32"/>
          <w:szCs w:val="32"/>
          <w:u w:val="none"/>
          <w:lang w:eastAsia="zh-CN"/>
        </w:rPr>
        <w:t>银行网点设置了老年人“爱心窗口”等绿色通道，</w:t>
      </w:r>
      <w:r>
        <w:rPr>
          <w:rFonts w:hint="eastAsia" w:ascii="仿宋_GB2312" w:hAnsi="仿宋_GB2312" w:eastAsia="仿宋_GB2312" w:cs="仿宋_GB2312"/>
          <w:b w:val="0"/>
          <w:i w:val="0"/>
          <w:caps w:val="0"/>
          <w:color w:val="auto"/>
          <w:spacing w:val="0"/>
          <w:sz w:val="32"/>
          <w:szCs w:val="32"/>
          <w:u w:val="none"/>
          <w:lang w:val="en-US" w:eastAsia="zh-CN"/>
        </w:rPr>
        <w:t>50%的银行网点安排专人对老年人开展“一对一”服务，</w:t>
      </w:r>
      <w:r>
        <w:rPr>
          <w:rFonts w:hint="eastAsia" w:ascii="仿宋_GB2312" w:hAnsi="仿宋_GB2312" w:eastAsia="仿宋_GB2312" w:cs="仿宋_GB2312"/>
          <w:b w:val="0"/>
          <w:i w:val="0"/>
          <w:caps w:val="0"/>
          <w:color w:val="auto"/>
          <w:spacing w:val="0"/>
          <w:sz w:val="32"/>
          <w:szCs w:val="32"/>
          <w:u w:val="none"/>
          <w:lang w:eastAsia="zh-CN"/>
        </w:rPr>
        <w:t>90%的银行网点配置老年人适用的基础设施，二是52家银行机构针对老年客户制定了特殊服务流程与方式，80%以上的网点保留了存折服务。为行动不便的老年客户提供远程视频服务、免填单服务和上门服务等便利服务措施，三是</w:t>
      </w:r>
      <w:r>
        <w:rPr>
          <w:rFonts w:hint="eastAsia" w:ascii="仿宋_GB2312" w:hAnsi="仿宋_GB2312" w:eastAsia="仿宋_GB2312" w:cs="仿宋_GB2312"/>
          <w:b w:val="0"/>
          <w:i w:val="0"/>
          <w:caps w:val="0"/>
          <w:color w:val="auto"/>
          <w:spacing w:val="0"/>
          <w:sz w:val="32"/>
          <w:szCs w:val="32"/>
          <w:u w:val="none"/>
          <w:lang w:val="en-US" w:eastAsia="zh-CN"/>
        </w:rPr>
        <w:t>300多项移动支付产品或服务完成适老化改造</w:t>
      </w:r>
      <w:r>
        <w:rPr>
          <w:rStyle w:val="10"/>
          <w:rFonts w:hint="eastAsia" w:ascii="仿宋_GB2312" w:hAnsi="仿宋_GB2312" w:eastAsia="仿宋_GB2312" w:cs="仿宋_GB2312"/>
          <w:b w:val="0"/>
          <w:i w:val="0"/>
          <w:caps w:val="0"/>
          <w:color w:val="auto"/>
          <w:spacing w:val="0"/>
          <w:sz w:val="32"/>
          <w:szCs w:val="32"/>
          <w:u w:val="none"/>
          <w:lang w:val="en-US" w:eastAsia="zh-CN"/>
        </w:rPr>
        <w:footnoteReference w:id="13"/>
      </w:r>
      <w:r>
        <w:rPr>
          <w:rFonts w:hint="eastAsia" w:ascii="仿宋_GB2312" w:hAnsi="仿宋_GB2312" w:eastAsia="仿宋_GB2312" w:cs="仿宋_GB2312"/>
          <w:b w:val="0"/>
          <w:i w:val="0"/>
          <w:caps w:val="0"/>
          <w:color w:val="auto"/>
          <w:spacing w:val="0"/>
          <w:sz w:val="32"/>
          <w:szCs w:val="32"/>
          <w:u w:val="none"/>
          <w:lang w:val="en-US" w:eastAsia="zh-CN"/>
        </w:rPr>
        <w:t>，推出“大字版”界面、密码输入延时、“一键求助”、手机号转账等人性化功能设计，</w:t>
      </w:r>
      <w:r>
        <w:rPr>
          <w:rFonts w:hint="eastAsia" w:ascii="仿宋_GB2312" w:hAnsi="仿宋_GB2312" w:eastAsia="仿宋_GB2312" w:cs="仿宋_GB2312"/>
          <w:b w:val="0"/>
          <w:i w:val="0"/>
          <w:caps w:val="0"/>
          <w:color w:val="auto"/>
          <w:spacing w:val="0"/>
          <w:sz w:val="32"/>
          <w:szCs w:val="32"/>
          <w:u w:val="none"/>
          <w:lang w:eastAsia="zh-CN"/>
        </w:rPr>
        <w:t>帮助老年人更好地适应数字支付的发展。下一步，</w:t>
      </w:r>
      <w:r>
        <w:rPr>
          <w:rFonts w:hint="eastAsia" w:ascii="仿宋_GB2312" w:hAnsi="仿宋_GB2312" w:eastAsia="仿宋_GB2312" w:cs="仿宋_GB2312"/>
          <w:b w:val="0"/>
          <w:bCs w:val="0"/>
          <w:i w:val="0"/>
          <w:caps w:val="0"/>
          <w:color w:val="auto"/>
          <w:spacing w:val="0"/>
          <w:sz w:val="32"/>
          <w:szCs w:val="32"/>
          <w:u w:val="none"/>
          <w:lang w:eastAsia="zh-CN"/>
        </w:rPr>
        <w:t>人民银行成都分行</w:t>
      </w:r>
      <w:r>
        <w:rPr>
          <w:rFonts w:hint="eastAsia" w:ascii="仿宋_GB2312" w:hAnsi="仿宋_GB2312" w:eastAsia="仿宋_GB2312" w:cs="仿宋_GB2312"/>
          <w:b w:val="0"/>
          <w:i w:val="0"/>
          <w:caps w:val="0"/>
          <w:color w:val="auto"/>
          <w:spacing w:val="0"/>
          <w:sz w:val="32"/>
          <w:szCs w:val="32"/>
          <w:u w:val="none"/>
          <w:lang w:eastAsia="zh-CN"/>
        </w:rPr>
        <w:t>将持续跟进老年人支付需求变化情况，推动金融机构不断为老年人提供更好的支付服务。</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u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5"/>
        <w:snapToGrid w:val="0"/>
      </w:pPr>
      <w:r>
        <w:rPr>
          <w:rStyle w:val="10"/>
        </w:rPr>
        <w:footnoteRef/>
      </w:r>
      <w:r>
        <w:t xml:space="preserve"> </w:t>
      </w:r>
      <w:r>
        <w:rPr>
          <w:rFonts w:hint="eastAsia"/>
          <w:lang w:eastAsia="zh-CN"/>
        </w:rPr>
        <w:t>使用电子营业执照小程序、</w:t>
      </w:r>
      <w:r>
        <w:rPr>
          <w:rFonts w:hint="eastAsia"/>
          <w:lang w:val="en-US" w:eastAsia="zh-CN"/>
        </w:rPr>
        <w:t>APP</w:t>
      </w:r>
      <w:r>
        <w:rPr>
          <w:rFonts w:hint="eastAsia"/>
          <w:lang w:eastAsia="zh-CN"/>
        </w:rPr>
        <w:t>在柜台出示电子营业执照开户，实现了开户环节纸质营业执照“免携带”、营业执照信息“免录入”等功能。</w:t>
      </w:r>
    </w:p>
  </w:footnote>
  <w:footnote w:id="1">
    <w:p>
      <w:pPr>
        <w:pStyle w:val="5"/>
        <w:snapToGrid w:val="0"/>
      </w:pPr>
      <w:r>
        <w:rPr>
          <w:rStyle w:val="10"/>
        </w:rPr>
        <w:footnoteRef/>
      </w:r>
      <w:r>
        <w:t xml:space="preserve"> </w:t>
      </w:r>
      <w:r>
        <w:rPr>
          <w:rFonts w:hint="eastAsia"/>
          <w:lang w:eastAsia="zh-CN"/>
        </w:rPr>
        <w:t>预约开户信息采集后，后续包含账户类型选择、产品服务、信息确认、进度查询等环节，均可电子渠道操作。</w:t>
      </w:r>
    </w:p>
  </w:footnote>
  <w:footnote w:id="2">
    <w:p>
      <w:pPr>
        <w:pStyle w:val="5"/>
        <w:snapToGrid w:val="0"/>
      </w:pPr>
      <w:r>
        <w:rPr>
          <w:rStyle w:val="10"/>
        </w:rPr>
        <w:footnoteRef/>
      </w:r>
      <w:r>
        <w:t xml:space="preserve"> </w:t>
      </w:r>
      <w:r>
        <w:rPr>
          <w:rFonts w:hint="eastAsia"/>
          <w:lang w:val="en-US" w:eastAsia="zh-CN"/>
        </w:rPr>
        <w:t>2021年7月，</w:t>
      </w:r>
      <w:r>
        <w:rPr>
          <w:rFonts w:hint="eastAsia"/>
        </w:rPr>
        <w:t>市场监管总局等六部门决定在全国部分省（区</w:t>
      </w:r>
      <w:r>
        <w:rPr>
          <w:rFonts w:hint="eastAsia"/>
          <w:lang w:eastAsia="zh-CN"/>
        </w:rPr>
        <w:t>，含四川</w:t>
      </w:r>
      <w:r>
        <w:rPr>
          <w:rFonts w:hint="eastAsia"/>
        </w:rPr>
        <w:t>）开展企业开办标准化规范化试点工作试点实施期为6个月，</w:t>
      </w:r>
      <w:r>
        <w:rPr>
          <w:rFonts w:hint="eastAsia"/>
          <w:lang w:eastAsia="zh-CN"/>
        </w:rPr>
        <w:t>其中，人民银行主要负责组织银行与企业开办“一网通办”平台对接，为企业提供预约开户服务。</w:t>
      </w:r>
    </w:p>
  </w:footnote>
  <w:footnote w:id="3">
    <w:p>
      <w:pPr>
        <w:pStyle w:val="5"/>
        <w:snapToGrid w:val="0"/>
      </w:pPr>
      <w:r>
        <w:rPr>
          <w:rStyle w:val="10"/>
        </w:rPr>
        <w:footnoteRef/>
      </w:r>
      <w:r>
        <w:t xml:space="preserve"> </w:t>
      </w:r>
      <w:r>
        <w:rPr>
          <w:rFonts w:hint="eastAsia"/>
          <w:lang w:eastAsia="zh-CN"/>
        </w:rPr>
        <w:t>账户开立、支付密码器领取、银企对账、网上银行、代发代扣、财税库银等多项业务综合签约。</w:t>
      </w:r>
    </w:p>
  </w:footnote>
  <w:footnote w:id="4">
    <w:p>
      <w:pPr>
        <w:pStyle w:val="5"/>
        <w:snapToGrid w:val="0"/>
      </w:pPr>
      <w:r>
        <w:rPr>
          <w:rStyle w:val="10"/>
        </w:rPr>
        <w:footnoteRef/>
      </w:r>
      <w:r>
        <w:rPr>
          <w:rFonts w:hint="eastAsia"/>
          <w:lang w:val="en-US" w:eastAsia="zh-CN"/>
        </w:rPr>
        <w:t xml:space="preserve"> </w:t>
      </w:r>
      <w:r>
        <w:rPr>
          <w:rFonts w:hint="eastAsia"/>
          <w:lang w:eastAsia="zh-CN"/>
        </w:rPr>
        <w:t>即</w:t>
      </w:r>
      <w:r>
        <w:rPr>
          <w:rFonts w:hint="eastAsia"/>
        </w:rPr>
        <w:t>本网点、上级管理行和当地人民银行分支机构三级咨询投诉电话</w:t>
      </w:r>
      <w:r>
        <w:rPr>
          <w:rFonts w:hint="eastAsia"/>
          <w:lang w:eastAsia="zh-CN"/>
        </w:rPr>
        <w:t>。</w:t>
      </w:r>
    </w:p>
  </w:footnote>
  <w:footnote w:id="5">
    <w:p>
      <w:pPr>
        <w:pStyle w:val="5"/>
        <w:snapToGrid w:val="0"/>
      </w:pPr>
      <w:r>
        <w:rPr>
          <w:rStyle w:val="10"/>
        </w:rPr>
        <w:footnoteRef/>
      </w:r>
      <w:r>
        <w:t xml:space="preserve"> </w:t>
      </w:r>
      <w:r>
        <w:rPr>
          <w:rFonts w:hint="eastAsia"/>
          <w:lang w:eastAsia="zh-CN"/>
        </w:rPr>
        <w:t>银行办理开户业务过程中，与</w:t>
      </w:r>
      <w:r>
        <w:rPr>
          <w:rFonts w:hint="eastAsia"/>
        </w:rPr>
        <w:t>小微企业客户身份识别无关或与评估账户潜在风险不相称、不合理的业务办理流程和服务行为</w:t>
      </w:r>
      <w:r>
        <w:rPr>
          <w:rFonts w:hint="eastAsia"/>
          <w:lang w:eastAsia="zh-CN"/>
        </w:rPr>
        <w:t>。</w:t>
      </w:r>
    </w:p>
  </w:footnote>
  <w:footnote w:id="6">
    <w:p>
      <w:pPr>
        <w:pStyle w:val="5"/>
        <w:snapToGrid w:val="0"/>
      </w:pPr>
      <w:r>
        <w:rPr>
          <w:rStyle w:val="10"/>
        </w:rPr>
        <w:footnoteRef/>
      </w:r>
      <w:r>
        <w:t xml:space="preserve"> </w:t>
      </w:r>
      <w:r>
        <w:rPr>
          <w:rFonts w:hint="eastAsia"/>
        </w:rPr>
        <w:t>企业账户服务“三公开”是指公开服务标准、资费标准和办理时限</w:t>
      </w:r>
      <w:r>
        <w:rPr>
          <w:rFonts w:hint="eastAsia"/>
          <w:lang w:eastAsia="zh-CN"/>
        </w:rPr>
        <w:t>。</w:t>
      </w:r>
    </w:p>
  </w:footnote>
  <w:footnote w:id="7">
    <w:p>
      <w:pPr>
        <w:pStyle w:val="5"/>
        <w:snapToGrid w:val="0"/>
      </w:pPr>
      <w:r>
        <w:rPr>
          <w:rStyle w:val="10"/>
        </w:rPr>
        <w:footnoteRef/>
      </w:r>
      <w:r>
        <w:t xml:space="preserve"> </w:t>
      </w:r>
      <w:r>
        <w:rPr>
          <w:rFonts w:hint="eastAsia"/>
        </w:rPr>
        <w:t>个人账户服务“三公开”是指公开服务标准、资费标准和分级分类管理说明</w:t>
      </w:r>
      <w:r>
        <w:rPr>
          <w:rFonts w:hint="eastAsia"/>
          <w:lang w:eastAsia="zh-CN"/>
        </w:rPr>
        <w:t>。</w:t>
      </w:r>
    </w:p>
  </w:footnote>
  <w:footnote w:id="8">
    <w:p>
      <w:pPr>
        <w:pStyle w:val="5"/>
        <w:snapToGrid w:val="0"/>
      </w:pPr>
      <w:r>
        <w:rPr>
          <w:rStyle w:val="10"/>
        </w:rPr>
        <w:footnoteRef/>
      </w:r>
      <w:r>
        <w:t xml:space="preserve"> </w:t>
      </w:r>
      <w:r>
        <w:rPr>
          <w:rFonts w:hint="eastAsia"/>
        </w:rPr>
        <w:t>简易开户服务是指商业银行根据《人民币银行结算账户管理办法》等银行结算账户制度审核小微企业和流动就业群体等单位和个人开户证明文件或身份证件后，简化辅助身份证明资料要求，开立功能与客户身份核实程度、账户风险相匹配的银行基本存款账户，满足客户开户需求。</w:t>
      </w:r>
    </w:p>
  </w:footnote>
  <w:footnote w:id="9">
    <w:p>
      <w:pPr>
        <w:pStyle w:val="5"/>
        <w:snapToGrid w:val="0"/>
      </w:pPr>
      <w:r>
        <w:rPr>
          <w:rStyle w:val="10"/>
        </w:rPr>
        <w:footnoteRef/>
      </w:r>
      <w:r>
        <w:t xml:space="preserve"> </w:t>
      </w:r>
      <w:r>
        <w:rPr>
          <w:rFonts w:hint="eastAsia"/>
        </w:rPr>
        <w:t>同一存款人</w:t>
      </w:r>
      <w:r>
        <w:rPr>
          <w:rFonts w:hint="eastAsia"/>
          <w:lang w:eastAsia="zh-CN"/>
        </w:rPr>
        <w:t>在同一银行</w:t>
      </w:r>
      <w:r>
        <w:rPr>
          <w:rFonts w:hint="eastAsia"/>
        </w:rPr>
        <w:t>开立</w:t>
      </w:r>
      <w:r>
        <w:rPr>
          <w:rFonts w:hint="eastAsia"/>
          <w:lang w:eastAsia="zh-CN"/>
        </w:rPr>
        <w:t>多个</w:t>
      </w:r>
      <w:r>
        <w:rPr>
          <w:rFonts w:hint="eastAsia"/>
        </w:rPr>
        <w:t>I类户的情况</w:t>
      </w:r>
      <w:r>
        <w:rPr>
          <w:rFonts w:hint="eastAsia"/>
          <w:lang w:eastAsia="zh-CN"/>
        </w:rPr>
        <w:t>，清理标准是</w:t>
      </w:r>
      <w:r>
        <w:rPr>
          <w:rFonts w:hint="eastAsia"/>
        </w:rPr>
        <w:t>1人5张卡以上</w:t>
      </w:r>
      <w:r>
        <w:rPr>
          <w:rFonts w:hint="eastAsia"/>
          <w:lang w:eastAsia="zh-CN"/>
        </w:rPr>
        <w:t>。</w:t>
      </w:r>
    </w:p>
  </w:footnote>
  <w:footnote w:id="10">
    <w:p>
      <w:pPr>
        <w:pStyle w:val="5"/>
        <w:snapToGrid w:val="0"/>
      </w:pPr>
      <w:r>
        <w:rPr>
          <w:rStyle w:val="10"/>
        </w:rPr>
        <w:footnoteRef/>
      </w:r>
      <w:r>
        <w:t xml:space="preserve"> </w:t>
      </w:r>
      <w:r>
        <w:rPr>
          <w:rFonts w:hint="eastAsia"/>
          <w:lang w:eastAsia="zh-CN"/>
        </w:rPr>
        <w:t>目前标准是3年以上未发生主动交易，且余额10元以下。</w:t>
      </w:r>
    </w:p>
  </w:footnote>
  <w:footnote w:id="11">
    <w:p>
      <w:pPr>
        <w:pStyle w:val="5"/>
        <w:snapToGrid w:val="0"/>
        <w:rPr>
          <w:rFonts w:hint="eastAsia"/>
        </w:rPr>
      </w:pPr>
      <w:r>
        <w:rPr>
          <w:rStyle w:val="10"/>
        </w:rPr>
        <w:footnoteRef/>
      </w:r>
      <w:r>
        <w:t xml:space="preserve"> </w:t>
      </w:r>
      <w:r>
        <w:rPr>
          <w:rFonts w:hint="eastAsia"/>
        </w:rPr>
        <w:t>在宜宾市政府云上依托公安机关已有信息建立“宜宾市反诈骗个人数据库”，该数据库分为ABC库，A库</w:t>
      </w:r>
      <w:r>
        <w:rPr>
          <w:rFonts w:hint="eastAsia"/>
          <w:lang w:eastAsia="zh-CN"/>
        </w:rPr>
        <w:t>为</w:t>
      </w:r>
      <w:r>
        <w:rPr>
          <w:rFonts w:hint="eastAsia"/>
        </w:rPr>
        <w:t>惩诫人员和涉诈重点人员，B库为吸毒人员、盗窃人员、涉嫌买卖两卡人员等有犯罪前科的人员</w:t>
      </w:r>
      <w:r>
        <w:rPr>
          <w:rFonts w:hint="eastAsia"/>
          <w:lang w:eastAsia="zh-CN"/>
        </w:rPr>
        <w:t>，</w:t>
      </w:r>
      <w:r>
        <w:rPr>
          <w:rFonts w:hint="eastAsia"/>
        </w:rPr>
        <w:t>C库</w:t>
      </w:r>
      <w:r>
        <w:rPr>
          <w:rFonts w:hint="eastAsia"/>
          <w:lang w:eastAsia="zh-CN"/>
        </w:rPr>
        <w:t>为</w:t>
      </w:r>
      <w:r>
        <w:rPr>
          <w:rFonts w:hint="eastAsia"/>
        </w:rPr>
        <w:t>银行上传可疑人员数据 。每个银行网点</w:t>
      </w:r>
      <w:r>
        <w:rPr>
          <w:rFonts w:hint="eastAsia"/>
          <w:lang w:eastAsia="zh-CN"/>
        </w:rPr>
        <w:t>工作人员办理开户业务</w:t>
      </w:r>
      <w:r>
        <w:rPr>
          <w:rFonts w:hint="eastAsia"/>
        </w:rPr>
        <w:t>时在“两卡”平台上输入开卡人身份证</w:t>
      </w:r>
    </w:p>
    <w:p>
      <w:pPr>
        <w:pStyle w:val="5"/>
        <w:snapToGrid w:val="0"/>
      </w:pPr>
      <w:r>
        <w:rPr>
          <w:rFonts w:hint="eastAsia"/>
        </w:rPr>
        <w:t>进行验证，与数据库进行匹配</w:t>
      </w:r>
      <w:r>
        <w:rPr>
          <w:rFonts w:hint="eastAsia"/>
          <w:lang w:eastAsia="zh-CN"/>
        </w:rPr>
        <w:t>。对于检索出的开户申请人，根据风险等级状况，采取不予办理、标记重点关注、通知前往派出所核验等措施。</w:t>
      </w:r>
    </w:p>
  </w:footnote>
  <w:footnote w:id="12">
    <w:p>
      <w:pPr>
        <w:pStyle w:val="5"/>
        <w:snapToGrid w:val="0"/>
      </w:pPr>
      <w:r>
        <w:rPr>
          <w:rStyle w:val="10"/>
        </w:rPr>
        <w:footnoteRef/>
      </w:r>
      <w:r>
        <w:t xml:space="preserve"> </w:t>
      </w:r>
      <w:r>
        <w:rPr>
          <w:rFonts w:hint="eastAsia"/>
        </w:rPr>
        <w:t>银行和支付机构对经设区的市级及以上公安机关认定的出租、出借、出售、购买银行账户（含银行卡）或者支付账户的单位和个人及相关组织者，假冒他人身份或者虚构代理关系开立银行账户或者支付账户的单位和个人，5年内暂停其银行账户非柜面业务、支付账户所有业务，并不得为其新开立账户。</w:t>
      </w:r>
    </w:p>
  </w:footnote>
  <w:footnote w:id="13">
    <w:p>
      <w:pPr>
        <w:pStyle w:val="5"/>
        <w:snapToGrid w:val="0"/>
      </w:pPr>
      <w:r>
        <w:rPr>
          <w:rStyle w:val="10"/>
        </w:rPr>
        <w:footnoteRef/>
      </w:r>
      <w:r>
        <w:t xml:space="preserve"> </w:t>
      </w:r>
      <w:r>
        <w:rPr>
          <w:rFonts w:hint="eastAsia"/>
          <w:lang w:eastAsia="zh-CN"/>
        </w:rPr>
        <w:t>移动支付</w:t>
      </w:r>
      <w:r>
        <w:rPr>
          <w:rFonts w:hint="eastAsia"/>
        </w:rPr>
        <w:t>APP从界面、操作等方面进行优化升级，为老年人客户提供更简洁的操作界面、手写、语音等更便利的输入方式</w:t>
      </w:r>
      <w:r>
        <w:rPr>
          <w:rFonts w:hint="eastAsia"/>
          <w:lang w:eastAsia="zh-CN"/>
        </w:rPr>
        <w:t>，完善相关产品与服务的应用功能、使用流程等</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7470CC"/>
    <w:rsid w:val="028710B6"/>
    <w:rsid w:val="05802F92"/>
    <w:rsid w:val="07B42F31"/>
    <w:rsid w:val="099D0853"/>
    <w:rsid w:val="0B7A4561"/>
    <w:rsid w:val="107A5C99"/>
    <w:rsid w:val="128E407F"/>
    <w:rsid w:val="179556FD"/>
    <w:rsid w:val="17FC2567"/>
    <w:rsid w:val="190C23A4"/>
    <w:rsid w:val="1B6B3188"/>
    <w:rsid w:val="1C4508ED"/>
    <w:rsid w:val="1C932C76"/>
    <w:rsid w:val="1D804DF1"/>
    <w:rsid w:val="1D8B6A06"/>
    <w:rsid w:val="20E33285"/>
    <w:rsid w:val="24D40F7C"/>
    <w:rsid w:val="271436A9"/>
    <w:rsid w:val="2AFA300F"/>
    <w:rsid w:val="2E402DEC"/>
    <w:rsid w:val="2FCD159E"/>
    <w:rsid w:val="3094583F"/>
    <w:rsid w:val="3334290F"/>
    <w:rsid w:val="33E23D2D"/>
    <w:rsid w:val="346F6E14"/>
    <w:rsid w:val="3507028C"/>
    <w:rsid w:val="35E05D71"/>
    <w:rsid w:val="38EE7BF2"/>
    <w:rsid w:val="39BD6FC6"/>
    <w:rsid w:val="3C063688"/>
    <w:rsid w:val="3C5D4096"/>
    <w:rsid w:val="43251536"/>
    <w:rsid w:val="43FF6C9B"/>
    <w:rsid w:val="44815631"/>
    <w:rsid w:val="44A21D28"/>
    <w:rsid w:val="45FC0CDF"/>
    <w:rsid w:val="468A3DC6"/>
    <w:rsid w:val="49A17BDC"/>
    <w:rsid w:val="49C3230F"/>
    <w:rsid w:val="49DD0B8B"/>
    <w:rsid w:val="4BF722AF"/>
    <w:rsid w:val="4CAF1A5D"/>
    <w:rsid w:val="4D6B45DF"/>
    <w:rsid w:val="504925C9"/>
    <w:rsid w:val="51442461"/>
    <w:rsid w:val="51F2387E"/>
    <w:rsid w:val="53553313"/>
    <w:rsid w:val="538E6B22"/>
    <w:rsid w:val="5B872136"/>
    <w:rsid w:val="5D7A5DE9"/>
    <w:rsid w:val="61813705"/>
    <w:rsid w:val="62246792"/>
    <w:rsid w:val="64FF130E"/>
    <w:rsid w:val="68DE12E9"/>
    <w:rsid w:val="6A3264C7"/>
    <w:rsid w:val="6BFA5AB3"/>
    <w:rsid w:val="6F942D9B"/>
    <w:rsid w:val="72F8122F"/>
    <w:rsid w:val="78F227FE"/>
    <w:rsid w:val="7A795AFD"/>
    <w:rsid w:val="7B5D15F3"/>
    <w:rsid w:val="7D696A3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11">
    <w:name w:val="Normal Table"/>
    <w:qFormat/>
    <w:uiPriority w:val="0"/>
    <w:tblPr>
      <w:tblStyle w:val="11"/>
      <w:tblLayout w:type="fixed"/>
      <w:tblCellMar>
        <w:top w:w="0" w:type="dxa"/>
        <w:left w:w="108" w:type="dxa"/>
        <w:bottom w:w="0" w:type="dxa"/>
        <w:right w:w="108" w:type="dxa"/>
      </w:tblCellMar>
    </w:tblPr>
    <w:tcPr>
      <w:textDirection w:val="lrTb"/>
    </w:tcPr>
  </w:style>
  <w:style w:type="paragraph" w:styleId="2">
    <w:name w:val="Body Text Indent"/>
    <w:basedOn w:val="1"/>
    <w:uiPriority w:val="0"/>
    <w:pPr>
      <w:widowControl/>
      <w:tabs>
        <w:tab w:val="left" w:pos="6165"/>
      </w:tabs>
      <w:adjustRightInd w:val="0"/>
      <w:spacing w:before="0" w:beforeAutospacing="0" w:after="0" w:afterAutospacing="0" w:line="600" w:lineRule="exact"/>
      <w:ind w:left="0" w:right="0" w:firstLine="640" w:firstLineChars="200"/>
      <w:jc w:val="left"/>
    </w:pPr>
    <w:rPr>
      <w:rFonts w:hint="eastAsia" w:ascii="仿宋_GB2312" w:hAnsi="仿宋_GB2312" w:eastAsia="仿宋_GB2312" w:cs="Times New Roman"/>
      <w:bCs/>
      <w:kern w:val="2"/>
      <w:sz w:val="32"/>
      <w:szCs w:val="32"/>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page number"/>
    <w:basedOn w:val="7"/>
    <w:uiPriority w:val="0"/>
    <w:rPr/>
  </w:style>
  <w:style w:type="character" w:styleId="10">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5066</Words>
  <Characters>5217</Characters>
  <Lines>0</Lines>
  <Paragraphs>53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2019-05-14T23:35:00Z</dcterms:created>
  <dc:creator>Wei</dc:creator>
  <cp:lastModifiedBy>OaUser</cp:lastModifiedBy>
  <cp:lastPrinted>2021-11-15T03:39:00Z</cp:lastPrinted>
  <dcterms:modified xsi:type="dcterms:W3CDTF">2021-12-03T08:14:40Z</dcterms:modified>
  <dc:title>主持人：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A1BAE0A3EA3B44C5BC41BB9E1F4EAD78</vt:lpwstr>
  </property>
</Properties>
</file>